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Chennai between:</w:t>
      </w:r>
    </w:p>
    <w:p/>
    <w:p>
      <w:r>
        <w:t>LANDLORD: Mekhala Agarwal, hereinafter referred to as the 'Landlord',</w:t>
      </w:r>
    </w:p>
    <w:p/>
    <w:p>
      <w:r>
        <w:t>AND</w:t>
      </w:r>
    </w:p>
    <w:p/>
    <w:p>
      <w:r>
        <w:t>TENANT: Suhani Chopra, hereinafter referred to as the 'Tenant'.</w:t>
      </w:r>
    </w:p>
    <w:p/>
    <w:p>
      <w:r>
        <w:t>This Agreement is governed by the laws of Rajasthan.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Rent for the demised premises is fixed at ₹50,500 per calendar month, payable in advance by the 7th of the month.</w:t>
      </w:r>
    </w:p>
    <w:p/>
    <w:p>
      <w:r>
        <w:t>3. SECURITY DEPOSIT</w:t>
      </w:r>
    </w:p>
    <w:p>
      <w:r>
        <w:t>A sum of ₹101,000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Chennai.</w:t>
      </w:r>
    </w:p>
    <w:p/>
    <w:p>
      <w:r>
        <w:t>8. JURISDICTION</w:t>
      </w:r>
    </w:p>
    <w:p>
      <w:r>
        <w:t>This Agreement shall be governed by the laws of India, and courts at Chennai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