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Ahmedabad between:</w:t>
      </w:r>
    </w:p>
    <w:p/>
    <w:p>
      <w:r>
        <w:t>LANDLORD: Frederick Iyengar, hereinafter referred to as the 'Landlord',</w:t>
      </w:r>
    </w:p>
    <w:p/>
    <w:p>
      <w:r>
        <w:t>AND</w:t>
      </w:r>
    </w:p>
    <w:p/>
    <w:p>
      <w:r>
        <w:t>TENANT: Suhani Ram,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Lessee/Tenant shall pay a monthly rent of ₹63,500 to the Lessor/Landlord on or before the 5th day of each calendar month.</w:t>
      </w:r>
    </w:p>
    <w:p/>
    <w:p>
      <w:r>
        <w:t>3. SECURITY DEPOSIT</w:t>
      </w:r>
    </w:p>
    <w:p>
      <w:r>
        <w:t>Security deposit of ₹381,000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90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Ahmedabad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