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Ahmedabad between:</w:t>
      </w:r>
    </w:p>
    <w:p/>
    <w:p>
      <w:r>
        <w:t>LANDLORD: Ishwar Deep, hereinafter referred to as the 'Landlord',</w:t>
      </w:r>
    </w:p>
    <w:p/>
    <w:p>
      <w:r>
        <w:t>AND</w:t>
      </w:r>
    </w:p>
    <w:p/>
    <w:p>
      <w:r>
        <w:t>TENANT: Frado Behl,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Monthly rent payable under this Agreement shall be ₹50,000, due on or before the 7th of every month, payable via bank transfer.</w:t>
      </w:r>
    </w:p>
    <w:p/>
    <w:p>
      <w:r>
        <w:t>3. SECURITY DEPOSIT</w:t>
      </w:r>
    </w:p>
    <w:p>
      <w:r>
        <w:t>Security deposit of ₹100,000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90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Ahmedabad.</w:t>
      </w:r>
    </w:p>
    <w:p/>
    <w:p>
      <w:r>
        <w:t>8. JURISDICTION</w:t>
      </w:r>
    </w:p>
    <w:p>
      <w:r>
        <w:t>This Agreement shall be governed by the laws of India, and courts at Ahmedabad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