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Patna between:</w:t>
      </w:r>
    </w:p>
    <w:p/>
    <w:p>
      <w:r>
        <w:t>LANDLORD: Jack Pall, hereinafter referred to as the 'Landlord',</w:t>
      </w:r>
    </w:p>
    <w:p/>
    <w:p>
      <w:r>
        <w:t>AND</w:t>
      </w:r>
    </w:p>
    <w:p/>
    <w:p>
      <w:r>
        <w:t>TENANT: Jackson Mishra,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Lessee/Tenant shall pay a monthly rent of ₹26,000 to the Lessor/Landlord on or before the 1st day of each calendar month.</w:t>
      </w:r>
    </w:p>
    <w:p/>
    <w:p>
      <w:r>
        <w:t>3. SECURITY DEPOSIT</w:t>
      </w:r>
    </w:p>
    <w:p>
      <w:r>
        <w:t>Security deposit of ₹52,000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90 days shall be required from either party intending to terminate this tenancy.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Patna.</w:t>
      </w:r>
    </w:p>
    <w:p/>
    <w:p>
      <w:r>
        <w:t>7. JURISDICTION</w:t>
      </w:r>
    </w:p>
    <w:p>
      <w:r>
        <w:t>The courts at Patna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