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Lucknow between:</w:t>
      </w:r>
    </w:p>
    <w:p/>
    <w:p>
      <w:r>
        <w:t>LANDLORD: Ijaya Krish, hereinafter referred to as the 'Landlord',</w:t>
      </w:r>
    </w:p>
    <w:p/>
    <w:p>
      <w:r>
        <w:t>AND</w:t>
      </w:r>
    </w:p>
    <w:p/>
    <w:p>
      <w:r>
        <w:t>TENANT: Warda Mandal,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₹63,000, due on or before the 7th of every month, payable via bank transfer.</w:t>
      </w:r>
    </w:p>
    <w:p/>
    <w:p>
      <w:r>
        <w:t>3. SECURITY DEPOSIT</w:t>
      </w:r>
    </w:p>
    <w:p>
      <w:r>
        <w:t>A sum of ₹630,000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Lucknow.</w:t>
      </w:r>
    </w:p>
    <w:p/>
    <w:p>
      <w:r>
        <w:t>8. JURISDICTION</w:t>
      </w:r>
    </w:p>
    <w:p>
      <w:r>
        <w:t>This Agreement shall be governed by the laws of India, and courts at Lucknow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