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Patna between:</w:t>
      </w:r>
    </w:p>
    <w:p/>
    <w:p>
      <w:r>
        <w:t>LANDLORD: Yoshita Srinivas, hereinafter referred to as the 'Landlord',</w:t>
      </w:r>
    </w:p>
    <w:p/>
    <w:p>
      <w:r>
        <w:t>AND</w:t>
      </w:r>
    </w:p>
    <w:p/>
    <w:p>
      <w:r>
        <w:t>TENANT: Riya Bajaj, hereinafter referred to as the 'Tenant'.</w:t>
      </w:r>
    </w:p>
    <w:p/>
    <w:p>
      <w:r>
        <w:t>This Agreement is governed by the laws of Tamil Nadu.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The Tenant agrees to remit a sum of ₹33,500 per month towards rent, such payment to be made no later than the 1st of each month.</w:t>
      </w:r>
    </w:p>
    <w:p/>
    <w:p>
      <w:r>
        <w:t>3. SECURITY DEPOSIT</w:t>
      </w:r>
    </w:p>
    <w:p>
      <w:r>
        <w:t>A sum of ₹67,000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A notice of 90 days shall be required from either party intending to terminate this tenancy.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JURISDICTION</w:t>
      </w:r>
    </w:p>
    <w:p>
      <w:r>
        <w:t>The courts at Patna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