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Manbir Gulati, hereinafter referred to as the 'Landlord',</w:t>
      </w:r>
    </w:p>
    <w:p/>
    <w:p>
      <w:r>
        <w:t>AND</w:t>
      </w:r>
    </w:p>
    <w:p/>
    <w:p>
      <w:r>
        <w:t>TENANT: Bhavna Dey,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Rent for the demised premises is fixed at ₹13,500 per calendar month, payable in advance by the 1st of the month.</w:t>
      </w:r>
    </w:p>
    <w:p/>
    <w:p>
      <w:r>
        <w:t>3. SECURITY DEPOSIT</w:t>
      </w:r>
    </w:p>
    <w:p>
      <w:r>
        <w:t>Security deposit of ₹135,000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45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Indore.</w:t>
      </w:r>
    </w:p>
    <w:p/>
    <w:p>
      <w:r>
        <w:t>8. JURISDICTION</w:t>
      </w:r>
    </w:p>
    <w:p>
      <w:r>
        <w:t>The courts at Indore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