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Bhopal between:</w:t>
      </w:r>
    </w:p>
    <w:p/>
    <w:p>
      <w:r>
        <w:t>LANDLORD: Ubika Sood, hereinafter referred to as the 'Landlord',</w:t>
      </w:r>
    </w:p>
    <w:p/>
    <w:p>
      <w:r>
        <w:t>AND</w:t>
      </w:r>
    </w:p>
    <w:p/>
    <w:p>
      <w:r>
        <w:t>TENANT: Ranbir Choudhury, hereinafter referred to as the 'Tenant'.</w:t>
      </w:r>
    </w:p>
    <w:p/>
    <w:p>
      <w:r>
        <w:t>This Agreement is governed by the laws of Karnataka.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Monthly rent payable under this Agreement shall be ₹21,500, due on or before the 7th of every month, payable via bank transfer.</w:t>
      </w:r>
    </w:p>
    <w:p/>
    <w:p>
      <w:r>
        <w:t>3. SECURITY DEPOSIT</w:t>
      </w:r>
    </w:p>
    <w:p>
      <w:r>
        <w:t>A sum of ₹43,000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Either party may terminate this Agreement by giving 15 days' written notice to the other party.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JURISDICTION</w:t>
      </w:r>
    </w:p>
    <w:p>
      <w:r>
        <w:t>The courts at Bhopal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