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Chennai between:</w:t>
      </w:r>
    </w:p>
    <w:p/>
    <w:p>
      <w:r>
        <w:t>LANDLORD: Shaurya Dasgupta, hereinafter referred to as the 'Landlord',</w:t>
      </w:r>
    </w:p>
    <w:p/>
    <w:p>
      <w:r>
        <w:t>AND</w:t>
      </w:r>
    </w:p>
    <w:p/>
    <w:p>
      <w:r>
        <w:t>TENANT: Ijaya Kohli,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Rent for the demised premises is fixed at ₹52,500 per calendar month, payable in advance by the 10th of the month.</w:t>
      </w:r>
    </w:p>
    <w:p/>
    <w:p>
      <w:r>
        <w:t>3. SECURITY DEPOSIT</w:t>
      </w:r>
    </w:p>
    <w:p>
      <w:r>
        <w:t>The Tenant shall pay an interest-free refundable security deposit of ₹157,500 to the Landlord prior to taking possession.</w:t>
      </w:r>
    </w:p>
    <w:p/>
    <w:p>
      <w:r>
        <w:t>4. TERMINATION NOTICE</w:t>
      </w:r>
    </w:p>
    <w:p>
      <w:r>
        <w:t>A notice of 60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Chennai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