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Saumya Roy, hereinafter referred to as the 'Landlord',</w:t>
      </w:r>
    </w:p>
    <w:p/>
    <w:p>
      <w:r>
        <w:t>AND</w:t>
      </w:r>
    </w:p>
    <w:p/>
    <w:p>
      <w:r>
        <w:t>TENANT: Anusha Bhandari,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₹17,000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₹170,000 to the Landlord prior to taking possession.</w:t>
      </w:r>
    </w:p>
    <w:p/>
    <w:p>
      <w:r>
        <w:t>4. TERMINATION NOTICE</w:t>
      </w:r>
    </w:p>
    <w:p>
      <w:r>
        <w:t>Either party may terminate this Agreement by giving 90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Nashik.</w:t>
      </w:r>
    </w:p>
    <w:p/>
    <w:p>
      <w:r>
        <w:t>8. JURISDICTION</w:t>
      </w:r>
    </w:p>
    <w:p>
      <w:r>
        <w:t>This Agreement shall be governed by the laws of India, and courts at Nashik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