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Bhopal between:</w:t>
      </w:r>
    </w:p>
    <w:p/>
    <w:p>
      <w:r>
        <w:t>LANDLORD: Yutika Kala, hereinafter referred to as the 'Landlord',</w:t>
      </w:r>
    </w:p>
    <w:p/>
    <w:p>
      <w:r>
        <w:t>AND</w:t>
      </w:r>
    </w:p>
    <w:p/>
    <w:p>
      <w:r>
        <w:t>TENANT: Hamsini Kalita, hereinafter referred to as the 'Tenant'.</w:t>
      </w:r>
    </w:p>
    <w:p/>
    <w:p>
      <w:r>
        <w:t>This Agreement is governed by the laws of Gujarat.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36 months commencing from the date of execution hereof.</w:t>
      </w:r>
    </w:p>
    <w:p/>
    <w:p>
      <w:r>
        <w:t>2. RENT PAYMENT</w:t>
      </w:r>
    </w:p>
    <w:p>
      <w:r>
        <w:t>The Lessee/Tenant shall pay a monthly rent of ₹19,000 to the Lessor/Landlord on or before the 5th day of each calendar month.</w:t>
      </w:r>
    </w:p>
    <w:p/>
    <w:p>
      <w:r>
        <w:t>3. SECURITY DEPOSIT</w:t>
      </w:r>
    </w:p>
    <w:p>
      <w:r>
        <w:t>The Tenant shall pay an interest-free refundable security deposit of ₹38,000 to the Landlord prior to taking possession.</w:t>
      </w:r>
    </w:p>
    <w:p/>
    <w:p>
      <w:r>
        <w:t>4. TERMINATION</w:t>
      </w:r>
    </w:p>
    <w:p>
      <w:r>
        <w:t>The Landlord may terminate this Agreement forthwith in the event of non-payment of rent for two consecutive months.</w:t>
      </w:r>
    </w:p>
    <w:p/>
    <w:p>
      <w:r>
        <w:t>5. DISPUTE RESOLUTION</w:t>
      </w:r>
    </w:p>
    <w:p>
      <w:r>
        <w:t>All disputes shall first be attempted to be resolved amicably, failing which the matter shall be subject to arbitration in Bhopal.</w:t>
      </w:r>
    </w:p>
    <w:p/>
    <w:p>
      <w:r>
        <w:t>6. JURISDICTION</w:t>
      </w:r>
    </w:p>
    <w:p>
      <w:r>
        <w:t>This Agreement shall be governed by the laws of India, and courts at Bhopal alone shall have jurisdiction.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