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Patna between:</w:t>
      </w:r>
    </w:p>
    <w:p/>
    <w:p>
      <w:r>
        <w:t>LANDLORD: Riya Pingle, hereinafter referred to as the 'Landlord',</w:t>
      </w:r>
    </w:p>
    <w:p/>
    <w:p>
      <w:r>
        <w:t>AND</w:t>
      </w:r>
    </w:p>
    <w:p/>
    <w:p>
      <w:r>
        <w:t>TENANT: Gautami Dhaliwal, hereinafter referred to as the 'Tenant'.</w:t>
      </w:r>
    </w:p>
    <w:p/>
    <w:p>
      <w:r>
        <w:t>This Agreement is governed by the laws of Tamil Nadu.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Rent for the demised premises is fixed at ₹9,000 per calendar month, payable in advance by the 7th of the month.</w:t>
      </w:r>
    </w:p>
    <w:p/>
    <w:p>
      <w:r>
        <w:t>3. SECURITY DEPOSIT</w:t>
      </w:r>
    </w:p>
    <w:p>
      <w:r>
        <w:t>A sum of ₹54,000 shall be deposited by the Lessee with the Lessor as security, refundable upon vacation subject to deductions for damages.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Patna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