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Jatin Desai, hereinafter referred to as the 'Landlord',</w:t>
      </w:r>
    </w:p>
    <w:p/>
    <w:p>
      <w:r>
        <w:t>AND</w:t>
      </w:r>
    </w:p>
    <w:p/>
    <w:p>
      <w:r>
        <w:t>TENANT: Udyati Bhatnagar,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₹60,000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₹180,000 to the Landlord prior to taking possession.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