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Indore between:</w:t>
      </w:r>
    </w:p>
    <w:p/>
    <w:p>
      <w:r>
        <w:t>LANDLORD: Nathan Chahal, hereinafter referred to as the 'Landlord',</w:t>
      </w:r>
    </w:p>
    <w:p/>
    <w:p>
      <w:r>
        <w:t>AND</w:t>
      </w:r>
    </w:p>
    <w:p/>
    <w:p>
      <w:r>
        <w:t>TENANT: Charan Gola,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Monthly rent payable under this Agreement shall be ₹12,000, due on or before the 7th of every month, payable via bank transfer.</w:t>
      </w:r>
    </w:p>
    <w:p/>
    <w:p>
      <w:r>
        <w:t>3. SECURITY DEPOSIT</w:t>
      </w:r>
    </w:p>
    <w:p>
      <w:r>
        <w:t>A sum of ₹72,000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A notice of 15 days shall be required from either party intending to terminate this tenancy.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Indore.</w:t>
      </w:r>
    </w:p>
    <w:p/>
    <w:p>
      <w:r>
        <w:t>8. JURISDICTION</w:t>
      </w:r>
    </w:p>
    <w:p>
      <w:r>
        <w:t>The courts at Indore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