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Hyderabad between:</w:t>
      </w:r>
    </w:p>
    <w:p/>
    <w:p>
      <w:r>
        <w:t>LANDLORD: Veda Mukherjee, hereinafter referred to as the 'Landlord',</w:t>
      </w:r>
    </w:p>
    <w:p/>
    <w:p>
      <w:r>
        <w:t>AND</w:t>
      </w:r>
    </w:p>
    <w:p/>
    <w:p>
      <w:r>
        <w:t>TENANT: Radha Rajan,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Rent for the demised premises is fixed at ₹51,000 per calendar month, payable in advance by the 7th of the month.</w:t>
      </w:r>
    </w:p>
    <w:p/>
    <w:p>
      <w:r>
        <w:t>3. SECURITY DEPOSIT</w:t>
      </w:r>
    </w:p>
    <w:p>
      <w:r>
        <w:t>The Tenant shall pay an interest-free refundable security deposit of ₹153,000 to the Landlord prior to taking possession.</w:t>
      </w:r>
    </w:p>
    <w:p/>
    <w:p>
      <w:r>
        <w:t>4. TERMINATION NOTICE</w:t>
      </w:r>
    </w:p>
    <w:p>
      <w:r>
        <w:t>This Agreement may be terminated by either party upon serving a notice period of 90 days in writing.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Hyderabad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