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Watika Dube, hereinafter referred to as the 'Landlord',</w:t>
      </w:r>
    </w:p>
    <w:p/>
    <w:p>
      <w:r>
        <w:t>AND</w:t>
      </w:r>
    </w:p>
    <w:p/>
    <w:p>
      <w:r>
        <w:t>TENANT: Bhanumati Parsa,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₹18,000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₹36,000 to the Landlord prior to taking possession.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JURISDICTION</w:t>
      </w:r>
    </w:p>
    <w:p>
      <w:r>
        <w:t>This Agreement shall be governed by the laws of India, and courts at Indore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