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Surat between:</w:t>
      </w:r>
    </w:p>
    <w:p/>
    <w:p>
      <w:r>
        <w:t>LANDLORD: Tristan Nazareth, hereinafter referred to as the 'Landlord',</w:t>
      </w:r>
    </w:p>
    <w:p/>
    <w:p>
      <w:r>
        <w:t>AND</w:t>
      </w:r>
    </w:p>
    <w:p/>
    <w:p>
      <w:r>
        <w:t>TENANT: Tanay Setty,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₹60,000 per month towards rent, such payment to be made no later than the 5th of each month.</w:t>
      </w:r>
    </w:p>
    <w:p/>
    <w:p>
      <w:r>
        <w:t>3. SECURITY DEPOSIT</w:t>
      </w:r>
    </w:p>
    <w:p>
      <w:r>
        <w:t>The Tenant shall pay an interest-free refundable security deposit of ₹120,000 to the Landlord prior to taking possession.</w:t>
      </w:r>
    </w:p>
    <w:p/>
    <w:p>
      <w:r>
        <w:t>4. TERMINATION NOTICE</w:t>
      </w:r>
    </w:p>
    <w:p>
      <w:r>
        <w:t>A notice of 15 days shall be required from either party intending to terminate this tenancy.</w:t>
      </w:r>
    </w:p>
    <w:p/>
    <w:p>
      <w:r>
        <w:t>5.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Surat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