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Vincent Nayak, hereinafter referred to as the 'Landlord',</w:t>
      </w:r>
    </w:p>
    <w:p/>
    <w:p>
      <w:r>
        <w:t>AND</w:t>
      </w:r>
    </w:p>
    <w:p/>
    <w:p>
      <w:r>
        <w:t>TENANT: Maanas Thaker,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Rent for the demised premises is fixed at ₹14,000 per calendar month, payable in advance by the 1st of the month.</w:t>
      </w:r>
    </w:p>
    <w:p/>
    <w:p>
      <w:r>
        <w:t>3. SECURITY DEPOSIT</w:t>
      </w:r>
    </w:p>
    <w:p>
      <w:r>
        <w:t>A sum of ₹28,000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This Agreement may be terminated by either party upon serving a notice period of 30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