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Bhopal between:</w:t>
      </w:r>
    </w:p>
    <w:p/>
    <w:p>
      <w:r>
        <w:t>LANDLORD: Tanay Gole, hereinafter referred to as the 'Landlord',</w:t>
      </w:r>
    </w:p>
    <w:p/>
    <w:p>
      <w:r>
        <w:t>AND</w:t>
      </w:r>
    </w:p>
    <w:p/>
    <w:p>
      <w:r>
        <w:t>TENANT: Anika Bobal,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Rent for the demised premises is fixed at ₹42,000 per calendar month, payable in advance by the 7th of the month.</w:t>
      </w:r>
    </w:p>
    <w:p/>
    <w:p>
      <w:r>
        <w:t>3. SECURITY DEPOSIT</w:t>
      </w:r>
    </w:p>
    <w:p>
      <w:r>
        <w:t>The Tenant shall pay an interest-free refundable security deposit of ₹420,000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30 days in writing.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Bhopal.</w:t>
      </w:r>
    </w:p>
    <w:p/>
    <w:p>
      <w:r>
        <w:t>8. JURISDICTION</w:t>
      </w:r>
    </w:p>
    <w:p>
      <w:r>
        <w:t>The courts at Bhopal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