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TENANCY AGREEMENT</w:t>
      </w:r>
    </w:p>
    <w:p>
      <w:r>
        <w:t>SYNTHETIC TEST DOCUMENT - NOT FOR LEGAL USE. All names, addresses, amounts and identifiers are invented.</w:t>
      </w:r>
    </w:p>
    <w:p>
      <w:r>
        <w:t>THIS AGREEMENT is made on 14 April 2027 between Mr. Harsh Vardhan Rao, 6 Cathedral Road, Chennai ("the Landlord") and Ms. Pooja Subramanian, 41 Greams Lane, Chennai ("the Tenant").</w:t>
      </w:r>
    </w:p>
    <w:p>
      <w:r>
        <w:t>1. The Flat</w:t>
      </w:r>
    </w:p>
    <w:p>
      <w:r>
        <w:t>The Landlord gives on rent to the Tenant the third-floor flat at 9 Kodambakkam High Road, Chennai 600024, for residence only.</w:t>
      </w:r>
    </w:p>
    <w:p>
      <w:r>
        <w:t>2. Period of Tenancy</w:t>
      </w:r>
    </w:p>
    <w:p>
      <w:r>
        <w:t>The tenancy is for a period of 12 months, starting on 1 May 2027 and ending on 31 March 2028.</w:t>
      </w:r>
    </w:p>
    <w:p>
      <w:r>
        <w:t>3. Monthly Rent</w:t>
      </w:r>
    </w:p>
    <w:p>
      <w:r>
        <w:t>The Tenant pays Rs. 18,000/- per month, on or before the 10th of every month.</w:t>
      </w:r>
    </w:p>
    <w:p>
      <w:r>
        <w:t>4. Advance Deposit</w:t>
      </w:r>
    </w:p>
    <w:p>
      <w:r>
        <w:t>The Tenant has paid a refundable deposit of Rs. 54,000/- to the Landlord. It is repaid within 20 days after the Tenant leaves and hands over the keys, after deducting only proved dues.</w:t>
      </w:r>
    </w:p>
    <w:p>
      <w:r>
        <w:t>5. Revision</w:t>
      </w:r>
    </w:p>
    <w:p>
      <w:r>
        <w:t>The monthly rent payable by the Tenant shall be Rs. 20,000/- throughout the tenancy.</w:t>
      </w:r>
    </w:p>
    <w:p>
      <w:r>
        <w:t>6. Ending the Tenancy</w:t>
      </w:r>
    </w:p>
    <w:p>
      <w:r>
        <w:t>Either party may end the tenancy by giving the other 2 months written notice.</w:t>
      </w:r>
    </w:p>
    <w:p>
      <w:r>
        <w:t>7. Governing Courts</w:t>
      </w:r>
    </w:p>
    <w:p>
      <w:r>
        <w:t>Disputes are subject to the jurisdiction of the courts at Chennai.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