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AGREEMENT FOR SALE OF RESIDENTIAL PROPERTY</w:t>
      </w:r>
    </w:p>
    <w:p>
      <w:pPr>
        <w:jc w:val="center"/>
      </w:pPr>
      <w:r>
        <w:rPr>
          <w:i/>
          <w:sz w:val="18"/>
        </w:rPr>
        <w:t>Synthetic sample for NYAYALENS analysis — not a legal instrument</w:t>
      </w:r>
    </w:p>
    <w:p>
      <w:r>
        <w:rPr>
          <w:rFonts w:ascii="Arial" w:hAnsi="Arial"/>
          <w:b/>
          <w:sz w:val="20"/>
        </w:rPr>
        <w:t>Document ID: SYN-SALE-001 | Domain: Sale of Property | Version: 1.0</w:t>
      </w:r>
    </w:p>
    <w:p>
      <w:r>
        <w:t>IMPORTANT: This is fictional synthetic text created for software testing and research. Names, addresses, dates, amounts, and terms are invented. It is not legal advice and should not be used as an actual agreement.</w:t>
      </w:r>
    </w:p>
    <w:p>
      <w:pPr>
        <w:pStyle w:val="Heading2"/>
      </w:pPr>
      <w:r>
        <w:t>1. PARTIES</w:t>
      </w:r>
    </w:p>
    <w:p>
      <w:r>
        <w:t>This Agreement is made on 20 October 2026 between Mr. Arjun Desai of 6 Orchid Lane, Thane, Maharashtra (the “Seller”) and Ms. Kavya Rao of 41 Station Road, Thane, Maharashtra (the “Buyer”).</w:t>
      </w:r>
    </w:p>
    <w:p>
      <w:pPr>
        <w:pStyle w:val="Heading2"/>
      </w:pPr>
      <w:r>
        <w:t>2. PROPERTY</w:t>
      </w:r>
    </w:p>
    <w:p>
      <w:r>
        <w:t>The Seller agrees to sell to the Buyer Flat 702, Maple Residency, Ghodbunder Road, Thane, Maharashtra, described in the parties’ draft schedule as CTS No. 884A, carpet area 910 square feet. The parties must verify the property description against the authoritative records before execution.</w:t>
      </w:r>
    </w:p>
    <w:p>
      <w:pPr>
        <w:pStyle w:val="Heading2"/>
      </w:pPr>
      <w:r>
        <w:t>3. SALE CONSIDERATION</w:t>
      </w:r>
    </w:p>
    <w:p>
      <w:r>
        <w:t>The total sale consideration is INR 8,000,000 (Rupees Eighty Lakh only).</w:t>
      </w:r>
    </w:p>
    <w:p>
      <w:pPr>
        <w:pStyle w:val="Heading2"/>
      </w:pPr>
      <w:r>
        <w:t>4. PAYMENT SCHEDULE</w:t>
      </w:r>
    </w:p>
    <w:p>
      <w:r>
        <w:t>The Buyer shall pay INR 1,000,000 as booking advance upon signing. The Buyer shall pay a further INR 5,000,000 on or before 15 December 2026. The remaining balance shall be paid at completion, subject to the completion conditions agreed by the parties.</w:t>
      </w:r>
    </w:p>
    <w:p>
      <w:pPr>
        <w:pStyle w:val="Heading2"/>
      </w:pPr>
      <w:r>
        <w:t>5. POSSESSION</w:t>
      </w:r>
    </w:p>
    <w:p>
      <w:r>
        <w:t>The Seller shall deliver vacant possession to the Buyer on or before 31 March 2027, provided the agreed completion payments have been made.</w:t>
      </w:r>
    </w:p>
    <w:p>
      <w:pPr>
        <w:pStyle w:val="Heading2"/>
      </w:pPr>
      <w:r>
        <w:t>6. TITLE AND ENCUMBRANCES</w:t>
      </w:r>
    </w:p>
    <w:p>
      <w:r>
        <w:t>The Seller states that, to the Seller’s knowledge, the property is not subject to any undisclosed mortgage or encumbrance. The Seller shall provide available title and society documents for review before completion.</w:t>
      </w:r>
    </w:p>
    <w:p>
      <w:pPr>
        <w:pStyle w:val="Heading2"/>
      </w:pPr>
      <w:r>
        <w:t>7. TAXES AND COSTS</w:t>
      </w:r>
    </w:p>
    <w:p>
      <w:r>
        <w:t>The parties shall identify in writing the taxes, stamp duty, registration fees, and transaction expenses payable by each party before completion. This clause does not itself calculate the amounts payable.</w:t>
      </w:r>
    </w:p>
    <w:p>
      <w:pPr>
        <w:pStyle w:val="Heading2"/>
      </w:pPr>
      <w:r>
        <w:t>8. DEFAULT</w:t>
      </w:r>
    </w:p>
    <w:p>
      <w:r>
        <w:t>If either party fails to perform a material obligation, the other party shall give written notice describing the failure and allow 15 days to remedy it, where the failure is capable of remedy.</w:t>
      </w:r>
    </w:p>
    <w:p>
      <w:pPr>
        <w:pStyle w:val="Heading2"/>
      </w:pPr>
      <w:r>
        <w:t>9. DOCUMENTS AND REGISTRATION</w:t>
      </w:r>
    </w:p>
    <w:p>
      <w:r>
        <w:t>The parties shall obtain independent advice regarding applicable execution, stamping, registration, and other formalities. This synthetic draft is not evidence that any transfer has occurred.</w:t>
      </w:r>
    </w:p>
    <w:p>
      <w:pPr>
        <w:pStyle w:val="Heading2"/>
      </w:pPr>
      <w:r>
        <w:t>10. DISPUTES</w:t>
      </w:r>
    </w:p>
    <w:p>
      <w:r>
        <w:t>The parties shall attempt good-faith negotiation before pursuing available remedies.</w:t>
      </w:r>
    </w:p>
    <w:p>
      <w:pPr>
        <w:pStyle w:val="Heading2"/>
      </w:pPr>
      <w:r>
        <w:t>11. SIGNATURES</w:t>
      </w:r>
    </w:p>
    <w:p>
      <w:r>
        <w:t>Seller: Arjun Desai _________________________    Date: __________</w:t>
        <w:br/>
        <w:t>Buyer: Kavya Rao __________________________    Date: __________</w:t>
      </w:r>
    </w:p>
    <w:p>
      <w:pPr>
        <w:pStyle w:val="Heading2"/>
      </w:pPr>
      <w:r>
        <w:t>END OF SYNTHETIC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