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CORRECTIVE AND PREVENTIVE ACTION REPORT</w:t>
      </w:r>
    </w:p>
    <w:p>
      <w:pPr>
        <w:jc w:val="center"/>
      </w:pPr>
      <w:r>
        <w:rPr>
          <w:b/>
          <w:color w:val="FF0000"/>
        </w:rPr>
        <w:t>[DRAFT] System-generated. Requires qualified human review before regulatory use.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Study ID</w:t>
            </w:r>
          </w:p>
        </w:tc>
        <w:tc>
          <w:tcPr>
            <w:tcW w:type="dxa" w:w="4320"/>
          </w:tcPr>
          <w:p>
            <w:r>
              <w:t>ONC-2024-001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Site ID</w:t>
            </w:r>
          </w:p>
        </w:tc>
        <w:tc>
          <w:tcPr>
            <w:tcW w:type="dxa" w:w="4320"/>
          </w:tcPr>
          <w:p>
            <w:r>
              <w:t>SITE-007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4320"/>
          </w:tcPr>
          <w:p>
            <w:r>
              <w:t>Darren Roberts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86.5 / 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Deviations</w:t>
            </w:r>
          </w:p>
        </w:tc>
        <w:tc>
          <w:tcPr>
            <w:tcW w:type="dxa" w:w="4320"/>
          </w:tcPr>
          <w:p>
            <w:r>
              <w:t>147</w:t>
            </w:r>
          </w:p>
        </w:tc>
      </w:tr>
    </w:tbl>
    <w:p/>
    <w:p>
      <w:pPr>
        <w:pStyle w:val="Heading2"/>
      </w:pPr>
      <w:r>
        <w:t>Deviation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Deviation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Affected Patients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 Distribution</w:t>
            </w:r>
          </w:p>
        </w:tc>
      </w:tr>
      <w:tr>
        <w:tc>
          <w:tcPr>
            <w:tcW w:type="dxa" w:w="2160"/>
          </w:tcPr>
          <w:p>
            <w:r>
              <w:t>missed_visit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Minor: 12; Major: 20</w:t>
            </w:r>
          </w:p>
        </w:tc>
      </w:tr>
      <w:tr>
        <w:tc>
          <w:tcPr>
            <w:tcW w:type="dxa" w:w="2160"/>
          </w:tcPr>
          <w:p>
            <w:r>
              <w:t>eligibility_violation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Major: 25</w:t>
            </w:r>
          </w:p>
        </w:tc>
      </w:tr>
      <w:tr>
        <w:tc>
          <w:tcPr>
            <w:tcW w:type="dxa" w:w="2160"/>
          </w:tcPr>
          <w:p>
            <w:r>
              <w:t>out_of_window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Major: 15; Minor: 9</w:t>
            </w:r>
          </w:p>
        </w:tc>
      </w:tr>
      <w:tr>
        <w:tc>
          <w:tcPr>
            <w:tcW w:type="dxa" w:w="2160"/>
          </w:tcPr>
          <w:p>
            <w:r>
              <w:t>missing_assessment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Major: 9; Minor: 13</w:t>
            </w:r>
          </w:p>
        </w:tc>
      </w:tr>
      <w:tr>
        <w:tc>
          <w:tcPr>
            <w:tcW w:type="dxa" w:w="2160"/>
          </w:tcPr>
          <w:p>
            <w:r>
              <w:t>late_data_entry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Major: 9; Minor: 12; Administrative: 1</w:t>
            </w:r>
          </w:p>
        </w:tc>
      </w:tr>
      <w:tr>
        <w:tc>
          <w:tcPr>
            <w:tcW w:type="dxa" w:w="2160"/>
          </w:tcPr>
          <w:p>
            <w:r>
              <w:t>dosing_deviation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Major: 9; Minor: 7</w:t>
            </w:r>
          </w:p>
        </w:tc>
      </w:tr>
      <w:tr>
        <w:tc>
          <w:tcPr>
            <w:tcW w:type="dxa" w:w="2160"/>
          </w:tcPr>
          <w:p>
            <w:r>
              <w:t>prohibited_medication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Major: 6</w:t>
            </w:r>
          </w:p>
        </w:tc>
      </w:tr>
    </w:tbl>
    <w:p/>
    <w:p>
      <w:pPr>
        <w:pStyle w:val="Heading2"/>
      </w:pPr>
      <w:r>
        <w:t>Root Cause Analysis</w:t>
      </w:r>
    </w:p>
    <w:p>
      <w:r>
        <w:t>Root cause analysis indicates site workflow bottlenecks, scheduling variance during active dosing cycles, and delayed electronic data capture reconciliation.</w:t>
      </w:r>
    </w:p>
    <w:p/>
    <w:p>
      <w:pPr>
        <w:pStyle w:val="Heading2"/>
      </w:pPr>
      <w:r>
        <w:t>Immediate Corrective Action</w:t>
      </w:r>
    </w:p>
    <w:p>
      <w:r>
        <w:t>1. Re-train site staff on protocol-specified visit windows and mandatory safety assessments.</w:t>
        <w:br/>
        <w:t>2. Re-verify concomitant medication logs for active protocol compliance.</w:t>
      </w:r>
    </w:p>
    <w:p/>
    <w:p>
      <w:pPr>
        <w:pStyle w:val="Heading2"/>
      </w:pPr>
      <w:r>
        <w:t>Preventive Action</w:t>
      </w:r>
    </w:p>
    <w:p>
      <w:r>
        <w:t>1. Implement automated EHR/EDC calendar alerts 48 hours prior to scheduled visit windows.</w:t>
        <w:br/>
        <w:t>2. Mandate dual-coordinator verification before dispensing study drug.</w:t>
      </w:r>
    </w:p>
    <w:p/>
    <w:p>
      <w:pPr>
        <w:pStyle w:val="Heading2"/>
      </w:pPr>
      <w:r>
        <w:t>Effectiveness Check Criteria</w:t>
      </w:r>
    </w:p>
    <w:p>
      <w:r>
        <w:t>Audit 100% of subject visits over the subsequent 60 days to verify zero unapproved protocol deviations and 100% assessment completion.</w:t>
      </w:r>
    </w:p>
    <w:p/>
    <w:p>
      <w:pPr>
        <w:pStyle w:val="Heading2"/>
      </w:pPr>
      <w:r>
        <w:t>Regulatory References</w:t>
      </w:r>
    </w:p>
    <w:p>
      <w:r>
        <w:t>* ICH E6(R2) Section 4.5 Compliance with Protocol</w:t>
      </w:r>
    </w:p>
    <w:p>
      <w:r>
        <w:t>* ICH E6(R2) Section 4.9 Records and Reports</w:t>
      </w:r>
    </w:p>
    <w:p>
      <w:r>
        <w:t>* ICH E6(R2) Section 5.18 Monitoring</w:t>
      </w:r>
    </w:p>
    <w:p>
      <w:r>
        <w:t>* 21 CFR 312.60 General Responsibilities of Investigators</w:t>
      </w:r>
    </w:p>
    <w:p/>
    <w:p>
      <w:pPr>
        <w:pStyle w:val="Heading2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| CTRM System (Draft — requires qualified human review) | Generated: 2026-09-15 | Study: ONC-2024-001 | Site: SITE-007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