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CORRECTIVE AND PREVENTIVE ACTION REPORT</w:t>
      </w:r>
    </w:p>
    <w:p>
      <w:pPr>
        <w:jc w:val="center"/>
      </w:pPr>
      <w:r>
        <w:rPr>
          <w:b/>
          <w:color w:val="FF0000"/>
        </w:rPr>
        <w:t>⚠ DRAFT — System-generated. Requires qualified human review before regulatory 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Study ID</w:t>
            </w:r>
          </w:p>
        </w:tc>
        <w:tc>
          <w:tcPr>
            <w:tcW w:type="dxa" w:w="4320"/>
          </w:tcPr>
          <w:p>
            <w:r>
              <w:t>ONC-2024-001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Version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Site ID</w:t>
            </w:r>
          </w:p>
        </w:tc>
        <w:tc>
          <w:tcPr>
            <w:tcW w:type="dxa" w:w="4320"/>
          </w:tcPr>
          <w:p>
            <w:r>
              <w:t>SITE-017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4320"/>
          </w:tcPr>
          <w:p>
            <w:r>
              <w:t>Alexandra 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73.2 /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Deviations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</w:tbl>
    <w:p/>
    <w:p>
      <w:pPr>
        <w:pStyle w:val="Heading2"/>
      </w:pPr>
      <w:r>
        <w:t>Deviation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Deviation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Affected Patients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 Distribution</w:t>
            </w:r>
          </w:p>
        </w:tc>
      </w:tr>
      <w:tr>
        <w:tc>
          <w:tcPr>
            <w:tcW w:type="dxa" w:w="2160"/>
          </w:tcPr>
          <w:p>
            <w:r>
              <w:t>eligibility_violation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Major: 21</w:t>
            </w:r>
          </w:p>
        </w:tc>
      </w:tr>
      <w:tr>
        <w:tc>
          <w:tcPr>
            <w:tcW w:type="dxa" w:w="2160"/>
          </w:tcPr>
          <w:p>
            <w:r>
              <w:t>missed_visit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Major: 4; Minor: 3</w:t>
            </w:r>
          </w:p>
        </w:tc>
      </w:tr>
      <w:tr>
        <w:tc>
          <w:tcPr>
            <w:tcW w:type="dxa" w:w="2160"/>
          </w:tcPr>
          <w:p>
            <w:r>
              <w:t>out_of_window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Minor: 3; Major: 1</w:t>
            </w:r>
          </w:p>
        </w:tc>
      </w:tr>
      <w:tr>
        <w:tc>
          <w:tcPr>
            <w:tcW w:type="dxa" w:w="2160"/>
          </w:tcPr>
          <w:p>
            <w:r>
              <w:t>late_data_entry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Major: 2; Minor: 2</w:t>
            </w:r>
          </w:p>
        </w:tc>
      </w:tr>
      <w:tr>
        <w:tc>
          <w:tcPr>
            <w:tcW w:type="dxa" w:w="2160"/>
          </w:tcPr>
          <w:p>
            <w:r>
              <w:t>dosing_deviation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Major: 3</w:t>
            </w:r>
          </w:p>
        </w:tc>
      </w:tr>
      <w:tr>
        <w:tc>
          <w:tcPr>
            <w:tcW w:type="dxa" w:w="2160"/>
          </w:tcPr>
          <w:p>
            <w:r>
              <w:t>missing_assessment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Major: 1</w:t>
            </w:r>
          </w:p>
        </w:tc>
      </w:tr>
      <w:tr>
        <w:tc>
          <w:tcPr>
            <w:tcW w:type="dxa" w:w="2160"/>
          </w:tcPr>
          <w:p>
            <w:r>
              <w:t>prohibited_medication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Major: 1</w:t>
            </w:r>
          </w:p>
        </w:tc>
      </w:tr>
    </w:tbl>
    <w:p/>
    <w:p>
      <w:pPr>
        <w:pStyle w:val="Heading2"/>
      </w:pPr>
      <w:r>
        <w:t>Root Cause Analysis</w:t>
      </w:r>
    </w:p>
    <w:p>
      <w:r>
        <w:t>Site SITE-017 has 41 detected deviations (risk band: High). Predominant deviation types: eligibility_violation, out_of_window, missed_visit. Detailed root cause analysis requires qualified review. [DATA REQUIRED]</w:t>
      </w:r>
    </w:p>
    <w:p/>
    <w:p>
      <w:pPr>
        <w:pStyle w:val="Heading2"/>
      </w:pPr>
      <w:r>
        <w:t>Immediate Corrective Action</w:t>
      </w:r>
    </w:p>
    <w:p>
      <w:r>
        <w:t>Immediate actions: (1) Notify Principal Investigator of all open deviations. (2) Review all Major deviations with site staff within 5 business days. (3) Correct or document all affected CRF entries per sponsor SOPs. [Responsible party and completion date: DATA REQUIRED]</w:t>
      </w:r>
    </w:p>
    <w:p/>
    <w:p>
      <w:pPr>
        <w:pStyle w:val="Heading2"/>
      </w:pPr>
      <w:r>
        <w:t>Preventive Action</w:t>
      </w:r>
    </w:p>
    <w:p>
      <w:r>
        <w:t>Preventive actions: (1) Conduct targeted retraining on protocol requirements. (2) Implement visit scheduling reminder system. (3) Increase monitoring visit frequency. [Detailed actions require site assessment: DATA REQUIRED]</w:t>
      </w:r>
    </w:p>
    <w:p/>
    <w:p>
      <w:pPr>
        <w:pStyle w:val="Heading2"/>
      </w:pPr>
      <w:r>
        <w:t>Effectiveness Check Criteria</w:t>
      </w:r>
    </w:p>
    <w:p>
      <w:r>
        <w:t>The CAPA will be considered effective if: (1) Zero repeat deviations of the same type occur over the next 90 days. (2) Data entry lag reduces to ≤3 business days. (3) Site risk score decreases to Medium band or below. [Verification timeline: DATA REQUIRED]</w:t>
      </w:r>
    </w:p>
    <w:p/>
    <w:p>
      <w:pPr>
        <w:pStyle w:val="Heading2"/>
      </w:pPr>
      <w:r>
        <w:t>Regulatory References</w:t>
      </w:r>
    </w:p>
    <w:p>
      <w:r>
        <w:t>• ICH E6(R2) Section 5.19 — Monitoring</w:t>
      </w:r>
    </w:p>
    <w:p>
      <w:r>
        <w:t>• ICH E6(R2) Section 4.5 — Compliance with Protocol</w:t>
      </w:r>
    </w:p>
    <w:p>
      <w:r>
        <w:t>• 21 CFR Part 312.62 — Investigator Recordkeeping</w:t>
      </w:r>
    </w:p>
    <w:p>
      <w:r>
        <w:t>• 21 CFR Part 312.68 — Inspection of Investigator Records</w:t>
      </w:r>
    </w:p>
    <w:p/>
    <w:p>
      <w:pPr>
        <w:pStyle w:val="Heading2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| CTRM System (Draft — requires qualified human review) | Generated: 2026-09-15 | Study: ONC-2024-001 | Site: SITE-017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