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D9440" w14:textId="77777777" w:rsidR="00C56B92" w:rsidRDefault="00000000">
      <w:pPr>
        <w:pStyle w:val="Heading1"/>
      </w:pPr>
      <w:bookmarkStart w:id="0" w:name="header"/>
      <w:bookmarkStart w:id="1" w:name="Xa47c905138a180b263d62638b818606f9d10ebc"/>
      <w:bookmarkStart w:id="2" w:name="content"/>
      <w:bookmarkEnd w:id="0"/>
      <w:r>
        <w:t>Abacus Insights verticals ranked by AI automation efficiency gain potential</w:t>
      </w:r>
    </w:p>
    <w:p w14:paraId="2E7D0523" w14:textId="77777777" w:rsidR="00C56B92" w:rsidRDefault="00000000">
      <w:pPr>
        <w:pStyle w:val="Heading2"/>
      </w:pPr>
      <w:bookmarkStart w:id="3" w:name="executive-summary"/>
      <w:r>
        <w:t>Executive summary</w:t>
      </w:r>
    </w:p>
    <w:p w14:paraId="0D3AD7CD" w14:textId="77777777" w:rsidR="00C56B92" w:rsidRDefault="00000000">
      <w:pPr>
        <w:pStyle w:val="FirstParagraph"/>
      </w:pPr>
      <w:r>
        <w:t xml:space="preserve">Abacus Insights positions itself as a payer-focused “data usability / transformation” platform with multiple solution lines mapped to payer operating functions (payment integrity, interoperability, quality and Star Ratings, risk adjustment, clinical data, and cost-of-care analytics). </w:t>
      </w:r>
      <w:hyperlink r:id="rId5">
        <w:r>
          <w:rPr>
            <w:rStyle w:val="Hyperlink"/>
          </w:rPr>
          <w:t>[1]</w:t>
        </w:r>
      </w:hyperlink>
      <w:r>
        <w:t xml:space="preserve"> A key implication is that the highest AI-driven efficiency gains will come where (a) workflows are high-volume and repetitive, (b) the decision artefacts must be auditable, and (c) there is a mix of structured data (claims/eligibility) and unstructured records (clinical documentation) that AI can accelerate. </w:t>
      </w:r>
      <w:hyperlink r:id="rId6">
        <w:r>
          <w:rPr>
            <w:rStyle w:val="Hyperlink"/>
          </w:rPr>
          <w:t>[2]</w:t>
        </w:r>
      </w:hyperlink>
    </w:p>
    <w:p w14:paraId="25757CE9" w14:textId="77777777" w:rsidR="00C56B92" w:rsidRDefault="00000000">
      <w:pPr>
        <w:pStyle w:val="BodyText"/>
      </w:pPr>
      <w:r>
        <w:t xml:space="preserve">Publicly indexable material on atlassian.net did not surface Abacus Insights-specific documentation in an atlassian.net-restricted search (suggesting private/authenticated workspaces, or simply no public Atlassian footprint). </w:t>
      </w:r>
      <w:hyperlink r:id="rId7">
        <w:r>
          <w:rPr>
            <w:rStyle w:val="Hyperlink"/>
          </w:rPr>
          <w:t>[3]</w:t>
        </w:r>
      </w:hyperlink>
      <w:r>
        <w:t xml:space="preserve"> This report therefore anchors vertical identification and workflow claims primarily on Abacus Insights’ official solution pages and product PDFs, then triangulates the “automation headroom” using authoritative regulatory sources and peer-reviewed/industry research. </w:t>
      </w:r>
      <w:hyperlink r:id="rId8">
        <w:r>
          <w:rPr>
            <w:rStyle w:val="Hyperlink"/>
          </w:rPr>
          <w:t>[4]</w:t>
        </w:r>
      </w:hyperlink>
    </w:p>
    <w:p w14:paraId="2745BB48" w14:textId="77777777" w:rsidR="00C56B92" w:rsidRDefault="00000000">
      <w:pPr>
        <w:pStyle w:val="BodyText"/>
      </w:pPr>
      <w:r>
        <w:t>Ranking from highest to lowest estimated potential operational efficiency gains (manual effort reduction and cycle-time compression) achievable via AI-driven automation:</w:t>
      </w:r>
    </w:p>
    <w:p w14:paraId="392E7B52" w14:textId="77777777" w:rsidR="00C56B92" w:rsidRDefault="00000000">
      <w:pPr>
        <w:pStyle w:val="BodyText"/>
      </w:pPr>
      <w:r>
        <w:t xml:space="preserve">1) </w:t>
      </w:r>
      <w:r>
        <w:rPr>
          <w:b/>
          <w:bCs/>
        </w:rPr>
        <w:t>Payment Integrity</w:t>
      </w:r>
      <w:r>
        <w:t xml:space="preserve"> (estimated </w:t>
      </w:r>
      <w:r>
        <w:rPr>
          <w:b/>
          <w:bCs/>
        </w:rPr>
        <w:t>30–55%</w:t>
      </w:r>
      <w:r>
        <w:t xml:space="preserve">) — strongest combination of data volume, repeatability, and direct “pre-pay + post-pay” workflow leverage, especially when paired with governed, longitudinal data and configurable orchestration. </w:t>
      </w:r>
      <w:hyperlink r:id="rId9">
        <w:r>
          <w:rPr>
            <w:rStyle w:val="Hyperlink"/>
          </w:rPr>
          <w:t>[5]</w:t>
        </w:r>
      </w:hyperlink>
      <w:r>
        <w:br/>
        <w:t xml:space="preserve">2) </w:t>
      </w:r>
      <w:r>
        <w:rPr>
          <w:b/>
          <w:bCs/>
        </w:rPr>
        <w:t>HEDIS Accelerator</w:t>
      </w:r>
      <w:r>
        <w:t xml:space="preserve"> (estimated </w:t>
      </w:r>
      <w:r>
        <w:rPr>
          <w:b/>
          <w:bCs/>
        </w:rPr>
        <w:t>25–50%</w:t>
      </w:r>
      <w:r>
        <w:t xml:space="preserve">) — large current burden from mapping/spec churn and residual chart review; external standards are explicitly moving to reduce manual medical record review, which aligns well with NLP/GenAI-assisted abstraction and automated measure operations. </w:t>
      </w:r>
      <w:hyperlink r:id="rId10">
        <w:r>
          <w:rPr>
            <w:rStyle w:val="Hyperlink"/>
          </w:rPr>
          <w:t>[6]</w:t>
        </w:r>
      </w:hyperlink>
      <w:r>
        <w:br/>
        <w:t xml:space="preserve">3) </w:t>
      </w:r>
      <w:r>
        <w:rPr>
          <w:b/>
          <w:bCs/>
        </w:rPr>
        <w:t>Risk Adjustment</w:t>
      </w:r>
      <w:r>
        <w:t xml:space="preserve"> (estimated </w:t>
      </w:r>
      <w:r>
        <w:rPr>
          <w:b/>
          <w:bCs/>
        </w:rPr>
        <w:t>25–45%</w:t>
      </w:r>
      <w:r>
        <w:t xml:space="preserve">) — heavy documentation/validation workflows plus audit pressure; AI can materially compress chart retrieval, evidence extraction, and coder review, but must be defensible under audits. </w:t>
      </w:r>
      <w:hyperlink r:id="rId11">
        <w:r>
          <w:rPr>
            <w:rStyle w:val="Hyperlink"/>
          </w:rPr>
          <w:t>[7]</w:t>
        </w:r>
      </w:hyperlink>
      <w:r>
        <w:br/>
        <w:t xml:space="preserve">4) </w:t>
      </w:r>
      <w:r>
        <w:rPr>
          <w:b/>
          <w:bCs/>
        </w:rPr>
        <w:t>Data Transformation Platform and managed data operations</w:t>
      </w:r>
      <w:r>
        <w:t xml:space="preserve"> (estimated </w:t>
      </w:r>
      <w:r>
        <w:rPr>
          <w:b/>
          <w:bCs/>
        </w:rPr>
        <w:t>20–40%</w:t>
      </w:r>
      <w:r>
        <w:t xml:space="preserve">) — substantial automation upside in mapping, data quality, entity resolution, and pipeline operations, but gains depend on current maturity and the amount of manual “concierge” effort still required. </w:t>
      </w:r>
      <w:hyperlink r:id="rId12">
        <w:r>
          <w:rPr>
            <w:rStyle w:val="Hyperlink"/>
          </w:rPr>
          <w:t>[8]</w:t>
        </w:r>
      </w:hyperlink>
      <w:r>
        <w:br/>
        <w:t xml:space="preserve">5) </w:t>
      </w:r>
      <w:r>
        <w:rPr>
          <w:b/>
          <w:bCs/>
        </w:rPr>
        <w:t>Clinical Data Solution</w:t>
      </w:r>
      <w:r>
        <w:t xml:space="preserve"> (estimated </w:t>
      </w:r>
      <w:r>
        <w:rPr>
          <w:b/>
          <w:bCs/>
        </w:rPr>
        <w:t>15–35%</w:t>
      </w:r>
      <w:r>
        <w:t xml:space="preserve">) — meaningful AI upside in clinical abstraction and longitudinal record assembly, constrained by heterogeneous inputs, identity matching, and PHI governance. </w:t>
      </w:r>
      <w:hyperlink r:id="rId13">
        <w:r>
          <w:rPr>
            <w:rStyle w:val="Hyperlink"/>
          </w:rPr>
          <w:t>[9]</w:t>
        </w:r>
      </w:hyperlink>
      <w:r>
        <w:br/>
        <w:t xml:space="preserve">6) </w:t>
      </w:r>
      <w:r>
        <w:rPr>
          <w:b/>
          <w:bCs/>
        </w:rPr>
        <w:t>Stars Performance</w:t>
      </w:r>
      <w:r>
        <w:t xml:space="preserve"> (estimated </w:t>
      </w:r>
      <w:r>
        <w:rPr>
          <w:b/>
          <w:bCs/>
        </w:rPr>
        <w:t>12–28%</w:t>
      </w:r>
      <w:r>
        <w:t xml:space="preserve">) — high value, but more of the work is analytic prioritisation and interventions; AI helps with forecasting, segmentation, and automated insight distribution rather than “lights-out” automation. </w:t>
      </w:r>
      <w:hyperlink r:id="rId14">
        <w:r>
          <w:rPr>
            <w:rStyle w:val="Hyperlink"/>
          </w:rPr>
          <w:t>[10]</w:t>
        </w:r>
      </w:hyperlink>
      <w:r>
        <w:br/>
      </w:r>
      <w:r>
        <w:lastRenderedPageBreak/>
        <w:t xml:space="preserve">7) </w:t>
      </w:r>
      <w:r>
        <w:rPr>
          <w:b/>
          <w:bCs/>
        </w:rPr>
        <w:t>CMS Interoperability</w:t>
      </w:r>
      <w:r>
        <w:t xml:space="preserve"> (estimated </w:t>
      </w:r>
      <w:r>
        <w:rPr>
          <w:b/>
          <w:bCs/>
        </w:rPr>
        <w:t>10–25%</w:t>
      </w:r>
      <w:r>
        <w:t xml:space="preserve">) — compliance-heavy APIs; AI assists mapping, testing, monitoring, and operational reporting, but core API correctness and security reduce automation tolerance. </w:t>
      </w:r>
      <w:hyperlink r:id="rId15">
        <w:r>
          <w:rPr>
            <w:rStyle w:val="Hyperlink"/>
          </w:rPr>
          <w:t>[11]</w:t>
        </w:r>
      </w:hyperlink>
      <w:r>
        <w:br/>
        <w:t xml:space="preserve">8) </w:t>
      </w:r>
      <w:r>
        <w:rPr>
          <w:b/>
          <w:bCs/>
        </w:rPr>
        <w:t>Cost of Care Management</w:t>
      </w:r>
      <w:r>
        <w:t xml:space="preserve"> (estimated </w:t>
      </w:r>
      <w:r>
        <w:rPr>
          <w:b/>
          <w:bCs/>
        </w:rPr>
        <w:t>10–20%</w:t>
      </w:r>
      <w:r>
        <w:t xml:space="preserve">) — AI improves forecasting and anomaly detection, but much effort is already computational; the remaining bottlenecks are business decision cycles and actuarial governance rather than pure clerical work. </w:t>
      </w:r>
      <w:hyperlink r:id="rId16">
        <w:r>
          <w:rPr>
            <w:rStyle w:val="Hyperlink"/>
          </w:rPr>
          <w:t>[12]</w:t>
        </w:r>
      </w:hyperlink>
    </w:p>
    <w:p w14:paraId="473DBB2D" w14:textId="77777777" w:rsidR="00C56B92" w:rsidRDefault="00000000">
      <w:pPr>
        <w:pStyle w:val="BodyText"/>
      </w:pPr>
      <w:r>
        <w:t xml:space="preserve">These are </w:t>
      </w:r>
      <w:r>
        <w:rPr>
          <w:b/>
          <w:bCs/>
        </w:rPr>
        <w:t>estimates</w:t>
      </w:r>
      <w:r>
        <w:t xml:space="preserve">, not Abacus Insights’ published metrics; they assume typical payer operating models and no privileged internal telemetry. </w:t>
      </w:r>
      <w:hyperlink r:id="rId17">
        <w:r>
          <w:rPr>
            <w:rStyle w:val="Hyperlink"/>
          </w:rPr>
          <w:t>[13]</w:t>
        </w:r>
      </w:hyperlink>
    </w:p>
    <w:p w14:paraId="264284A4" w14:textId="77777777" w:rsidR="00C56B92" w:rsidRDefault="00000000">
      <w:pPr>
        <w:pStyle w:val="Heading2"/>
      </w:pPr>
      <w:bookmarkStart w:id="4" w:name="identified-verticals-and-definitions"/>
      <w:bookmarkEnd w:id="3"/>
      <w:r>
        <w:t>Identified verticals and definitions</w:t>
      </w:r>
    </w:p>
    <w:p w14:paraId="60E75281" w14:textId="77777777" w:rsidR="00C56B92" w:rsidRDefault="00000000">
      <w:pPr>
        <w:pStyle w:val="FirstParagraph"/>
      </w:pPr>
      <w:r>
        <w:t xml:space="preserve">Abacus Insights publicly groups its offerings into a core platform plus multiple solutions aligned to payer operational domains. </w:t>
      </w:r>
      <w:hyperlink r:id="rId18">
        <w:r>
          <w:rPr>
            <w:rStyle w:val="Hyperlink"/>
          </w:rPr>
          <w:t>[14]</w:t>
        </w:r>
      </w:hyperlink>
      <w:r>
        <w:t xml:space="preserve"> The following “verticals/business units” are defined here as solution lines explicitly listed under “Solutions” on the Abacus Insights site (plus the platform that underpins them).</w:t>
      </w:r>
    </w:p>
    <w:p w14:paraId="25551148" w14:textId="77777777" w:rsidR="00C56B92" w:rsidRDefault="00000000">
      <w:pPr>
        <w:pStyle w:val="Compact"/>
        <w:numPr>
          <w:ilvl w:val="0"/>
          <w:numId w:val="2"/>
        </w:numPr>
      </w:pPr>
      <w:r>
        <w:rPr>
          <w:b/>
          <w:bCs/>
        </w:rPr>
        <w:t>Data Transformation Platform (Abacus Insights Platform)</w:t>
      </w:r>
      <w:r>
        <w:t xml:space="preserve">: a managed data hub that ingests disparate healthcare datasets, improves quality via a “Unified Data Foundation” (including matching/standardisation), and distributes data for analytics and operational use cases. </w:t>
      </w:r>
      <w:hyperlink r:id="rId19">
        <w:r>
          <w:rPr>
            <w:rStyle w:val="Hyperlink"/>
          </w:rPr>
          <w:t>[15]</w:t>
        </w:r>
      </w:hyperlink>
    </w:p>
    <w:p w14:paraId="4B84B8A5" w14:textId="77777777" w:rsidR="00C56B92" w:rsidRDefault="00000000">
      <w:pPr>
        <w:pStyle w:val="Compact"/>
        <w:numPr>
          <w:ilvl w:val="0"/>
          <w:numId w:val="2"/>
        </w:numPr>
      </w:pPr>
      <w:r>
        <w:rPr>
          <w:b/>
          <w:bCs/>
        </w:rPr>
        <w:t>Payment Integrity</w:t>
      </w:r>
      <w:r>
        <w:t xml:space="preserve">: data foundation + orchestration intended to unify claims and non-claims data, support earlier overpayment detection and pre-pay decisioning, and reduce manual reconciliation in post-pay recovery. </w:t>
      </w:r>
      <w:hyperlink r:id="rId20">
        <w:r>
          <w:rPr>
            <w:rStyle w:val="Hyperlink"/>
          </w:rPr>
          <w:t>[16]</w:t>
        </w:r>
      </w:hyperlink>
    </w:p>
    <w:p w14:paraId="3DAC6257" w14:textId="77777777" w:rsidR="00C56B92" w:rsidRDefault="00000000">
      <w:pPr>
        <w:pStyle w:val="Compact"/>
        <w:numPr>
          <w:ilvl w:val="0"/>
          <w:numId w:val="2"/>
        </w:numPr>
      </w:pPr>
      <w:r>
        <w:rPr>
          <w:b/>
          <w:bCs/>
        </w:rPr>
        <w:t>CMS Interoperability</w:t>
      </w:r>
      <w:r>
        <w:t xml:space="preserve">: modules supporting mandated FHIR APIs (patient access, provider access, payer-to-payer) and electronic prior authorisation support, integrated with an interoperability platform partner. </w:t>
      </w:r>
      <w:hyperlink r:id="rId21">
        <w:r>
          <w:rPr>
            <w:rStyle w:val="Hyperlink"/>
          </w:rPr>
          <w:t>[17]</w:t>
        </w:r>
      </w:hyperlink>
    </w:p>
    <w:p w14:paraId="194579A0" w14:textId="77777777" w:rsidR="00C56B92" w:rsidRDefault="00000000">
      <w:pPr>
        <w:pStyle w:val="Compact"/>
        <w:numPr>
          <w:ilvl w:val="0"/>
          <w:numId w:val="2"/>
        </w:numPr>
      </w:pPr>
      <w:r>
        <w:rPr>
          <w:b/>
          <w:bCs/>
        </w:rPr>
        <w:t>HEDIS Accelerator</w:t>
      </w:r>
      <w:r>
        <w:t xml:space="preserve">: “data-first” HEDIS operations support, emphasising automated mapping/configuration to NCQA-certified vendor specifications, year-round extracts, audit support (lineage), and distribution to BI/APIs/GenAI platforms. </w:t>
      </w:r>
      <w:hyperlink r:id="rId22">
        <w:r>
          <w:rPr>
            <w:rStyle w:val="Hyperlink"/>
          </w:rPr>
          <w:t>[18]</w:t>
        </w:r>
      </w:hyperlink>
    </w:p>
    <w:p w14:paraId="1957B6AF" w14:textId="77777777" w:rsidR="00C56B92" w:rsidRDefault="00000000">
      <w:pPr>
        <w:pStyle w:val="Compact"/>
        <w:numPr>
          <w:ilvl w:val="0"/>
          <w:numId w:val="2"/>
        </w:numPr>
      </w:pPr>
      <w:r>
        <w:rPr>
          <w:b/>
          <w:bCs/>
        </w:rPr>
        <w:t>Risk Adjustment</w:t>
      </w:r>
      <w:r>
        <w:t xml:space="preserve">: integrated internal + external datasets to support risk score calculation, regulatory updates, vendor data exchange, and reporting; positioned as making risk adjustment “more accurate and efficient with tailored data.” </w:t>
      </w:r>
      <w:hyperlink r:id="rId23">
        <w:r>
          <w:rPr>
            <w:rStyle w:val="Hyperlink"/>
          </w:rPr>
          <w:t>[19]</w:t>
        </w:r>
      </w:hyperlink>
    </w:p>
    <w:p w14:paraId="55081CF5" w14:textId="77777777" w:rsidR="00C56B92" w:rsidRDefault="00000000">
      <w:pPr>
        <w:pStyle w:val="Compact"/>
        <w:numPr>
          <w:ilvl w:val="0"/>
          <w:numId w:val="2"/>
        </w:numPr>
      </w:pPr>
      <w:r>
        <w:rPr>
          <w:b/>
          <w:bCs/>
        </w:rPr>
        <w:t>Clinical Data Solution</w:t>
      </w:r>
      <w:r>
        <w:t xml:space="preserve">: integration and validation of clinical data from HIEs/EMRs/digital sources with core payer data to create longitudinal records and deliver “pertinent clinical data” to operations and analytics. </w:t>
      </w:r>
      <w:hyperlink r:id="rId24">
        <w:r>
          <w:rPr>
            <w:rStyle w:val="Hyperlink"/>
          </w:rPr>
          <w:t>[20]</w:t>
        </w:r>
      </w:hyperlink>
    </w:p>
    <w:p w14:paraId="334BC47D" w14:textId="77777777" w:rsidR="00C56B92" w:rsidRDefault="00000000">
      <w:pPr>
        <w:pStyle w:val="Compact"/>
        <w:numPr>
          <w:ilvl w:val="0"/>
          <w:numId w:val="2"/>
        </w:numPr>
      </w:pPr>
      <w:r>
        <w:rPr>
          <w:b/>
          <w:bCs/>
        </w:rPr>
        <w:t>Cost of Care Management</w:t>
      </w:r>
      <w:r>
        <w:t xml:space="preserve">: consolidation/validation of claims data across the claims lifecycle to monitor total cost of care in near real time and support forecasting/reserves and value-based arrangements. </w:t>
      </w:r>
      <w:hyperlink r:id="rId25">
        <w:r>
          <w:rPr>
            <w:rStyle w:val="Hyperlink"/>
          </w:rPr>
          <w:t>[21]</w:t>
        </w:r>
      </w:hyperlink>
    </w:p>
    <w:p w14:paraId="7CBDAEF2" w14:textId="77777777" w:rsidR="00C56B92" w:rsidRDefault="00000000">
      <w:pPr>
        <w:pStyle w:val="Compact"/>
        <w:numPr>
          <w:ilvl w:val="0"/>
          <w:numId w:val="2"/>
        </w:numPr>
      </w:pPr>
      <w:r>
        <w:rPr>
          <w:b/>
          <w:bCs/>
        </w:rPr>
        <w:t>Stars Performance</w:t>
      </w:r>
      <w:r>
        <w:t xml:space="preserve">: integrated view of Star Ratings-related measures across sources (HEDIS, Part D, CAHPS, CMS operations measures), with automated distribution of results in preferred formats including AI platforms. </w:t>
      </w:r>
      <w:hyperlink r:id="rId26">
        <w:r>
          <w:rPr>
            <w:rStyle w:val="Hyperlink"/>
          </w:rPr>
          <w:t>[22]</w:t>
        </w:r>
      </w:hyperlink>
    </w:p>
    <w:p w14:paraId="13ED7B51" w14:textId="77777777" w:rsidR="00C56B92" w:rsidRDefault="00000000">
      <w:pPr>
        <w:pStyle w:val="FirstParagraph"/>
      </w:pPr>
      <w:r>
        <w:lastRenderedPageBreak/>
        <w:t xml:space="preserve">Cross-cutting constraints and capabilities repeatedly highlighted by Abacus Insights (relevant to every vertical): SOC 2 Type 2, HITRUST r2, NIST CSF alignment, and HIPAA security controls for PHI/PII. </w:t>
      </w:r>
      <w:hyperlink r:id="rId27">
        <w:r>
          <w:rPr>
            <w:rStyle w:val="Hyperlink"/>
          </w:rPr>
          <w:t>[23]</w:t>
        </w:r>
      </w:hyperlink>
    </w:p>
    <w:p w14:paraId="18A0A094" w14:textId="77777777" w:rsidR="00C56B92" w:rsidRDefault="00000000">
      <w:pPr>
        <w:pStyle w:val="Heading2"/>
      </w:pPr>
      <w:bookmarkStart w:id="5" w:name="methodology-and-assumptions"/>
      <w:bookmarkEnd w:id="4"/>
      <w:r>
        <w:t>Methodology and assumptions</w:t>
      </w:r>
    </w:p>
    <w:p w14:paraId="653D128C" w14:textId="77777777" w:rsidR="00C56B92" w:rsidRDefault="00000000">
      <w:pPr>
        <w:pStyle w:val="FirstParagraph"/>
      </w:pPr>
      <w:r>
        <w:t xml:space="preserve">Vertical identification is sourced from Abacus Insights’ “Solutions” navigation and individual solution pages/product sheets. </w:t>
      </w:r>
      <w:hyperlink r:id="rId28">
        <w:r>
          <w:rPr>
            <w:rStyle w:val="Hyperlink"/>
          </w:rPr>
          <w:t>[24]</w:t>
        </w:r>
      </w:hyperlink>
      <w:r>
        <w:t xml:space="preserve"> The “efficiency gain” estimate for each vertical is a </w:t>
      </w:r>
      <w:r>
        <w:rPr>
          <w:b/>
          <w:bCs/>
        </w:rPr>
        <w:t>range of potential operational efficiency improvement</w:t>
      </w:r>
      <w:r>
        <w:t xml:space="preserve"> (percent reduction in manual effort and/or cycle time in the target workflows) that could be achieved through AI-driven automation </w:t>
      </w:r>
      <w:r>
        <w:rPr>
          <w:b/>
          <w:bCs/>
        </w:rPr>
        <w:t>on top of</w:t>
      </w:r>
      <w:r>
        <w:t xml:space="preserve"> conventional automation (pipelines, rules engines, ETL/ELT, dashboards). This is forward-looking and assumes Abacus (or a payer using Abacus) intentionally implements AI into workflow steps where it is safe and auditable. </w:t>
      </w:r>
      <w:hyperlink r:id="rId29">
        <w:r>
          <w:rPr>
            <w:rStyle w:val="Hyperlink"/>
          </w:rPr>
          <w:t>[25]</w:t>
        </w:r>
      </w:hyperlink>
    </w:p>
    <w:p w14:paraId="72FD7B51" w14:textId="77777777" w:rsidR="00C56B92" w:rsidRDefault="00000000">
      <w:pPr>
        <w:pStyle w:val="BodyText"/>
      </w:pPr>
      <w:r>
        <w:t>Because no internal Abacus client metrics (FTE hours, STP rates, claim touch time) are provided, estimates are derived from:</w:t>
      </w:r>
    </w:p>
    <w:p w14:paraId="0170D94D" w14:textId="77777777" w:rsidR="00C56B92" w:rsidRDefault="00000000">
      <w:pPr>
        <w:pStyle w:val="Compact"/>
        <w:numPr>
          <w:ilvl w:val="0"/>
          <w:numId w:val="3"/>
        </w:numPr>
      </w:pPr>
      <w:r>
        <w:rPr>
          <w:b/>
          <w:bCs/>
        </w:rPr>
        <w:t>Workflow and pain-point signals</w:t>
      </w:r>
      <w:r>
        <w:t xml:space="preserve"> from Abacus solution descriptions (e.g., “manual reconciliation”, “manual mapping”, “audit risk and rework”). </w:t>
      </w:r>
      <w:hyperlink r:id="rId30">
        <w:r>
          <w:rPr>
            <w:rStyle w:val="Hyperlink"/>
          </w:rPr>
          <w:t>[26]</w:t>
        </w:r>
      </w:hyperlink>
    </w:p>
    <w:p w14:paraId="614D10A6" w14:textId="77777777" w:rsidR="00C56B92" w:rsidRDefault="00000000">
      <w:pPr>
        <w:pStyle w:val="Compact"/>
        <w:numPr>
          <w:ilvl w:val="0"/>
          <w:numId w:val="3"/>
        </w:numPr>
      </w:pPr>
      <w:r>
        <w:rPr>
          <w:b/>
          <w:bCs/>
        </w:rPr>
        <w:t>Regulatory and industry burden drivers</w:t>
      </w:r>
      <w:r>
        <w:t>, primarily from entity["organization","Centers for Medicare &amp; Medicaid Services","us federal health agency"] on CMS interoperability/prior authorisation timelines and reporting requirements, and from NCQA</w:t>
      </w:r>
      <w:hyperlink r:id="rId31">
        <w:r>
          <w:rPr>
            <w:rStyle w:val="Hyperlink"/>
          </w:rPr>
          <w:t>[27]</w:t>
        </w:r>
      </w:hyperlink>
      <w:r>
        <w:t xml:space="preserve"> on digital quality transition reducing manual record review. </w:t>
      </w:r>
      <w:hyperlink r:id="rId32">
        <w:r>
          <w:rPr>
            <w:rStyle w:val="Hyperlink"/>
          </w:rPr>
          <w:t>[28]</w:t>
        </w:r>
      </w:hyperlink>
    </w:p>
    <w:p w14:paraId="64849A8D" w14:textId="77777777" w:rsidR="00C56B92" w:rsidRDefault="00000000">
      <w:pPr>
        <w:pStyle w:val="Compact"/>
        <w:numPr>
          <w:ilvl w:val="0"/>
          <w:numId w:val="3"/>
        </w:numPr>
      </w:pPr>
      <w:r>
        <w:rPr>
          <w:b/>
          <w:bCs/>
        </w:rPr>
        <w:t>Evidence that AI can reduce chart review time</w:t>
      </w:r>
      <w:r>
        <w:t xml:space="preserve">, e.g., a 2025 study describing NLP-assisted chart review reducing review time per chart by ~40% (in its case study), which is directionally relevant to HEDIS/risk adjustment abstraction workloads. </w:t>
      </w:r>
      <w:hyperlink r:id="rId33">
        <w:r>
          <w:rPr>
            <w:rStyle w:val="Hyperlink"/>
          </w:rPr>
          <w:t>[29]</w:t>
        </w:r>
      </w:hyperlink>
    </w:p>
    <w:p w14:paraId="4E2A0E41" w14:textId="77777777" w:rsidR="00C56B92" w:rsidRDefault="00000000">
      <w:pPr>
        <w:pStyle w:val="Compact"/>
        <w:numPr>
          <w:ilvl w:val="0"/>
          <w:numId w:val="3"/>
        </w:numPr>
      </w:pPr>
      <w:r>
        <w:rPr>
          <w:b/>
          <w:bCs/>
        </w:rPr>
        <w:t>Payment integrity scale/need signals</w:t>
      </w:r>
      <w:r>
        <w:t>, including U.S. Government Accountability Office</w:t>
      </w:r>
      <w:hyperlink r:id="rId34">
        <w:r>
          <w:rPr>
            <w:rStyle w:val="Hyperlink"/>
          </w:rPr>
          <w:t>[30]</w:t>
        </w:r>
      </w:hyperlink>
      <w:r>
        <w:t xml:space="preserve"> describing Medicare and Medicaid improper payments exceeding $100B in 2023, and peer-reviewed literature summarising ML approaches for claims fraud detection. </w:t>
      </w:r>
      <w:hyperlink r:id="rId35">
        <w:r>
          <w:rPr>
            <w:rStyle w:val="Hyperlink"/>
          </w:rPr>
          <w:t>[31]</w:t>
        </w:r>
      </w:hyperlink>
    </w:p>
    <w:p w14:paraId="3E71B732" w14:textId="77777777" w:rsidR="00C56B92" w:rsidRDefault="00000000">
      <w:pPr>
        <w:pStyle w:val="FirstParagraph"/>
      </w:pPr>
      <w:r>
        <w:t>Scoring approach (used consistently across verticals):</w:t>
      </w:r>
    </w:p>
    <w:p w14:paraId="2B8DBC00" w14:textId="77777777" w:rsidR="00C56B92" w:rsidRDefault="00000000">
      <w:pPr>
        <w:pStyle w:val="Compact"/>
        <w:numPr>
          <w:ilvl w:val="0"/>
          <w:numId w:val="4"/>
        </w:numPr>
      </w:pPr>
      <w:r>
        <w:rPr>
          <w:b/>
          <w:bCs/>
        </w:rPr>
        <w:t>Automation headroom</w:t>
      </w:r>
      <w:r>
        <w:t xml:space="preserve">: proportion of work that is repetitive/standardisable (high in mapping, reconciliation, abstraction; lower in strategy and clinical judgement). </w:t>
      </w:r>
      <w:hyperlink r:id="rId36">
        <w:r>
          <w:rPr>
            <w:rStyle w:val="Hyperlink"/>
          </w:rPr>
          <w:t>[32]</w:t>
        </w:r>
      </w:hyperlink>
    </w:p>
    <w:p w14:paraId="777226BC" w14:textId="77777777" w:rsidR="00C56B92" w:rsidRDefault="00000000">
      <w:pPr>
        <w:pStyle w:val="Compact"/>
        <w:numPr>
          <w:ilvl w:val="0"/>
          <w:numId w:val="4"/>
        </w:numPr>
      </w:pPr>
      <w:r>
        <w:rPr>
          <w:b/>
          <w:bCs/>
        </w:rPr>
        <w:t>Data leverage</w:t>
      </w:r>
      <w:r>
        <w:t xml:space="preserve">: availability/quality of structured + unstructured data and whether Abacus already consolidates it (enabler). </w:t>
      </w:r>
      <w:hyperlink r:id="rId37">
        <w:r>
          <w:rPr>
            <w:rStyle w:val="Hyperlink"/>
          </w:rPr>
          <w:t>[33]</w:t>
        </w:r>
      </w:hyperlink>
    </w:p>
    <w:p w14:paraId="7144F939" w14:textId="77777777" w:rsidR="00C56B92" w:rsidRDefault="00000000">
      <w:pPr>
        <w:pStyle w:val="Compact"/>
        <w:numPr>
          <w:ilvl w:val="0"/>
          <w:numId w:val="4"/>
        </w:numPr>
      </w:pPr>
      <w:r>
        <w:rPr>
          <w:b/>
          <w:bCs/>
        </w:rPr>
        <w:t>Regulatory tolerance</w:t>
      </w:r>
      <w:r>
        <w:t xml:space="preserve">: how dangerous errors are and how strong the audit trail must be (higher constraint in CMS interoperability and risk adjustment). </w:t>
      </w:r>
      <w:hyperlink r:id="rId38">
        <w:r>
          <w:rPr>
            <w:rStyle w:val="Hyperlink"/>
          </w:rPr>
          <w:t>[34]</w:t>
        </w:r>
      </w:hyperlink>
    </w:p>
    <w:p w14:paraId="7E19F45E" w14:textId="77777777" w:rsidR="00C56B92" w:rsidRDefault="00000000">
      <w:pPr>
        <w:pStyle w:val="Compact"/>
        <w:numPr>
          <w:ilvl w:val="0"/>
          <w:numId w:val="4"/>
        </w:numPr>
      </w:pPr>
      <w:r>
        <w:rPr>
          <w:b/>
          <w:bCs/>
        </w:rPr>
        <w:t>Implementation friction</w:t>
      </w:r>
      <w:r>
        <w:t xml:space="preserve">: integration complexity and change management. Abacus states it can “begin delivering value within 4 to 6 months” and emphasises “minimises change management,” which informs roadmap sizing but is not treated as a guarantee. </w:t>
      </w:r>
      <w:hyperlink r:id="rId39">
        <w:r>
          <w:rPr>
            <w:rStyle w:val="Hyperlink"/>
          </w:rPr>
          <w:t>[35]</w:t>
        </w:r>
      </w:hyperlink>
    </w:p>
    <w:p w14:paraId="44C0B34F" w14:textId="77777777" w:rsidR="00C56B92" w:rsidRDefault="00000000">
      <w:pPr>
        <w:pStyle w:val="Heading2"/>
      </w:pPr>
      <w:bookmarkStart w:id="6" w:name="Xac50310d355d43c105d72377808a0a62aa7f678"/>
      <w:bookmarkEnd w:id="5"/>
      <w:r>
        <w:lastRenderedPageBreak/>
        <w:t>Vertical workflow analyses and AI automation estimates</w:t>
      </w:r>
    </w:p>
    <w:p w14:paraId="2FABAC9A" w14:textId="77777777" w:rsidR="00C56B92" w:rsidRDefault="00000000">
      <w:pPr>
        <w:pStyle w:val="FirstParagraph"/>
      </w:pPr>
      <w:r>
        <w:rPr>
          <w:b/>
          <w:bCs/>
        </w:rPr>
        <w:t>Payment Integrity</w:t>
      </w:r>
      <w:r>
        <w:br/>
        <w:t xml:space="preserve">Current workflows typically include: intake of adjudicated claims + supporting data, rules/edits execution (pre-pay and post-pay), vendor/portfolio coordination, case triage, medical record requests, recovery package preparation, provider communication, and dispute/appeals handling. Abacus explicitly frames the “current reality” as fragmented data, siloed workflows, and manual reconciliation, and positions its solution as reducing manual burden in post-pay recovery while enabling earlier pre-pay decisions. </w:t>
      </w:r>
      <w:hyperlink r:id="rId40">
        <w:r>
          <w:rPr>
            <w:rStyle w:val="Hyperlink"/>
          </w:rPr>
          <w:t>[16]</w:t>
        </w:r>
      </w:hyperlink>
      <w:r>
        <w:br/>
        <w:t xml:space="preserve">Typical manual tasks: cross-vendor reconciliation, stitching claim history to clinical context, prioritising anomalies for review, assembling audit trails/defensibility packages, and monitoring drift in coding patterns. </w:t>
      </w:r>
      <w:hyperlink r:id="rId41">
        <w:r>
          <w:rPr>
            <w:rStyle w:val="Hyperlink"/>
          </w:rPr>
          <w:t>[36]</w:t>
        </w:r>
      </w:hyperlink>
      <w:r>
        <w:br/>
        <w:t xml:space="preserve">Data types: medical/pharmacy claims, member eligibility/enrolment, provider data, clinical records/attachments, PI vendor outputs, and longitudinal member context. Abacus + CoverSelf describe a combination of structured and unstructured assets (claims history, clinical records, longitudinal member information) to surface opportunities earlier in the claims lifecycle. </w:t>
      </w:r>
      <w:hyperlink r:id="rId42">
        <w:r>
          <w:rPr>
            <w:rStyle w:val="Hyperlink"/>
          </w:rPr>
          <w:t>[37]</w:t>
        </w:r>
      </w:hyperlink>
      <w:r>
        <w:br/>
        <w:t xml:space="preserve">Integration points: claims adjudication engine, PI vendor platforms, provider portals, data warehouse/lakehouse, and (increasingly) pre-pay orchestration/editing engines. </w:t>
      </w:r>
      <w:hyperlink r:id="rId43">
        <w:r>
          <w:rPr>
            <w:rStyle w:val="Hyperlink"/>
          </w:rPr>
          <w:t>[16]</w:t>
        </w:r>
      </w:hyperlink>
      <w:r>
        <w:br/>
        <w:t xml:space="preserve">Regulatory constraints: defensibility, privacy (PHI/PII), and audit-ready controls; Abacus highlights HITRUST/SOC2/HIPAA-aligned controls as baseline. </w:t>
      </w:r>
      <w:hyperlink r:id="rId44">
        <w:r>
          <w:rPr>
            <w:rStyle w:val="Hyperlink"/>
          </w:rPr>
          <w:t>[23]</w:t>
        </w:r>
      </w:hyperlink>
      <w:r>
        <w:br/>
        <w:t xml:space="preserve">Estimated AI automation efficiency gain: </w:t>
      </w:r>
      <w:r>
        <w:rPr>
          <w:b/>
          <w:bCs/>
        </w:rPr>
        <w:t>30–55%</w:t>
      </w:r>
      <w:r>
        <w:t xml:space="preserve"> (confidence </w:t>
      </w:r>
      <w:r>
        <w:rPr>
          <w:b/>
          <w:bCs/>
        </w:rPr>
        <w:t>75/100</w:t>
      </w:r>
      <w:r>
        <w:t xml:space="preserve">). Rationale: the vertical has high volume, explicit “manual reconciliation” burden, and mature anomaly detection + NLP tooling; the magnitude of improper payments creates sustained investment pressure. </w:t>
      </w:r>
      <w:hyperlink r:id="rId45">
        <w:r>
          <w:rPr>
            <w:rStyle w:val="Hyperlink"/>
          </w:rPr>
          <w:t>[38]</w:t>
        </w:r>
      </w:hyperlink>
      <w:r>
        <w:br/>
        <w:t xml:space="preserve">Key AI use cases and required technologies: claims anomaly detection (gradient boosting / deep models), graph analytics for collusive behaviours, NLP/LLMs for extracting medical necessity and coding evidence from records, retrieval-augmented generation (RAG) over policy rules to draft rationale, and agentic workflow orchestration with strict human-in-the-loop review. </w:t>
      </w:r>
      <w:hyperlink r:id="rId46">
        <w:r>
          <w:rPr>
            <w:rStyle w:val="Hyperlink"/>
          </w:rPr>
          <w:t>[39]</w:t>
        </w:r>
      </w:hyperlink>
      <w:r>
        <w:br/>
        <w:t xml:space="preserve">Implementation complexity, data readiness, and risks: </w:t>
      </w:r>
      <w:r>
        <w:rPr>
          <w:b/>
          <w:bCs/>
        </w:rPr>
        <w:t>High complexity</w:t>
      </w:r>
      <w:r>
        <w:t xml:space="preserve"> due to multiple systems and high false-positive risk. Data readiness is often </w:t>
      </w:r>
      <w:r>
        <w:rPr>
          <w:b/>
          <w:bCs/>
        </w:rPr>
        <w:t>medium</w:t>
      </w:r>
      <w:r>
        <w:t xml:space="preserve"> because claims are structured but clinical context is heterogeneous. Key risks are hallucinated rationales, biased targeting, and provider abrasion; mitigation requires model monitoring, threshold governance, and “explainability by design” with traceable evidence links. </w:t>
      </w:r>
      <w:hyperlink r:id="rId47">
        <w:r>
          <w:rPr>
            <w:rStyle w:val="Hyperlink"/>
          </w:rPr>
          <w:t>[40]</w:t>
        </w:r>
      </w:hyperlink>
    </w:p>
    <w:p w14:paraId="68094DAF" w14:textId="77777777" w:rsidR="00C56B92" w:rsidRDefault="00000000">
      <w:pPr>
        <w:pStyle w:val="BodyText"/>
      </w:pPr>
      <w:r>
        <w:rPr>
          <w:b/>
          <w:bCs/>
        </w:rPr>
        <w:t>HEDIS Accelerator</w:t>
      </w:r>
      <w:r>
        <w:br/>
        <w:t xml:space="preserve">Current workflows typically include annual and increasingly year-round measure computation runs, mapping plan data to a certified HEDIS engine/vendor specification, managing frequent spec changes, chart retrieval and abstraction for remaining hybrid measures, and audit preparation with lineage documentation. Abacus describes “automated mapping and configuration” to NCQA-certified vendor specs, a configurable extract engine for year-round runs, and comprehensive audit support with lineage tracking. </w:t>
      </w:r>
      <w:hyperlink r:id="rId48">
        <w:r>
          <w:rPr>
            <w:rStyle w:val="Hyperlink"/>
          </w:rPr>
          <w:t>[41]</w:t>
        </w:r>
      </w:hyperlink>
      <w:r>
        <w:br/>
      </w:r>
      <w:r>
        <w:lastRenderedPageBreak/>
        <w:t xml:space="preserve">Typical manual tasks: file preparation to vendor formats, rework from spec changes, evidence hunting in charts, exception resolution for audit, and stitching outputs into downstream dashboards and outreach workflows. </w:t>
      </w:r>
      <w:hyperlink r:id="rId49">
        <w:r>
          <w:rPr>
            <w:rStyle w:val="Hyperlink"/>
          </w:rPr>
          <w:t>[18]</w:t>
        </w:r>
      </w:hyperlink>
      <w:r>
        <w:br/>
        <w:t xml:space="preserve">Data types: claims, eligibility, lab feeds, EHR/HIE data, registry feeds, vendor-produced HEDIS result files, and digital quality artefacts (FHIR/CQL-based measures as the industry transitions). </w:t>
      </w:r>
      <w:hyperlink r:id="rId50">
        <w:r>
          <w:rPr>
            <w:rStyle w:val="Hyperlink"/>
          </w:rPr>
          <w:t>[42]</w:t>
        </w:r>
      </w:hyperlink>
      <w:r>
        <w:br/>
        <w:t xml:space="preserve">Integration points: NCQA-certified HEDIS engines/vendors, BI tools, care-gap closure workflows, and (increasingly) digital quality measurement infrastructure. Abacus explicitly targets distribution to BI tools, APIs, real-time streams, advanced analytics, and GenAI platforms. </w:t>
      </w:r>
      <w:hyperlink r:id="rId51">
        <w:r>
          <w:rPr>
            <w:rStyle w:val="Hyperlink"/>
          </w:rPr>
          <w:t>[43]</w:t>
        </w:r>
      </w:hyperlink>
      <w:r>
        <w:br/>
        <w:t xml:space="preserve">Regulatory constraints: NCQA audit expectations and evolving digital requirements. NCQA explicitly describes expanding electronic clinical data systems (ECDS) reporting and phasing out hybrid reporting to reduce manual medical record review burden. </w:t>
      </w:r>
      <w:hyperlink r:id="rId52">
        <w:r>
          <w:rPr>
            <w:rStyle w:val="Hyperlink"/>
          </w:rPr>
          <w:t>[44]</w:t>
        </w:r>
      </w:hyperlink>
      <w:r>
        <w:br/>
        <w:t xml:space="preserve">Estimated AI automation efficiency gain: </w:t>
      </w:r>
      <w:r>
        <w:rPr>
          <w:b/>
          <w:bCs/>
        </w:rPr>
        <w:t>25–50%</w:t>
      </w:r>
      <w:r>
        <w:t xml:space="preserve"> (confidence </w:t>
      </w:r>
      <w:r>
        <w:rPr>
          <w:b/>
          <w:bCs/>
        </w:rPr>
        <w:t>70/100</w:t>
      </w:r>
      <w:r>
        <w:t xml:space="preserve">). Rationale: high manual burden areas (mapping + abstraction) are directly targetable; external standard-setters are pushing the ecosystem away from manual review, which structurally increases automation ROI. </w:t>
      </w:r>
      <w:hyperlink r:id="rId53">
        <w:r>
          <w:rPr>
            <w:rStyle w:val="Hyperlink"/>
          </w:rPr>
          <w:t>[45]</w:t>
        </w:r>
      </w:hyperlink>
      <w:r>
        <w:br/>
        <w:t xml:space="preserve">Key AI use cases and required technologies: LLM-assisted spec diffing and mapping recommendations, NLP abstraction of hybrid measure evidence with citation to chart snippets, automated lineage diagram generation, and proactive “measure drift” monitors when source feeds change. Strong fit for clinical NLP models (negation, temporality) plus RAG over measure definitions and data dictionaries. </w:t>
      </w:r>
      <w:hyperlink r:id="rId54">
        <w:r>
          <w:rPr>
            <w:rStyle w:val="Hyperlink"/>
          </w:rPr>
          <w:t>[46]</w:t>
        </w:r>
      </w:hyperlink>
      <w:r>
        <w:br/>
        <w:t xml:space="preserve">Implementation complexity, data readiness, and risks: </w:t>
      </w:r>
      <w:r>
        <w:rPr>
          <w:b/>
          <w:bCs/>
        </w:rPr>
        <w:t>Medium–high complexity</w:t>
      </w:r>
      <w:r>
        <w:t xml:space="preserve">; data readiness is </w:t>
      </w:r>
      <w:r>
        <w:rPr>
          <w:b/>
          <w:bCs/>
        </w:rPr>
        <w:t>medium</w:t>
      </w:r>
      <w:r>
        <w:t xml:space="preserve"> (structured claims + semi-structured vendor outputs, but unstructured chart data varies). Risks include audit failures due to undocumented transformations and over-reliance on LLM extraction; mitigations are deterministic validation layers, dual-run comparisons, and audit-ready evidence capture. </w:t>
      </w:r>
      <w:hyperlink r:id="rId55">
        <w:r>
          <w:rPr>
            <w:rStyle w:val="Hyperlink"/>
          </w:rPr>
          <w:t>[41]</w:t>
        </w:r>
      </w:hyperlink>
    </w:p>
    <w:p w14:paraId="47F62630" w14:textId="77777777" w:rsidR="00C56B92" w:rsidRDefault="00000000">
      <w:pPr>
        <w:pStyle w:val="BodyText"/>
      </w:pPr>
      <w:r>
        <w:rPr>
          <w:b/>
          <w:bCs/>
        </w:rPr>
        <w:t>Risk Adjustment</w:t>
      </w:r>
      <w:r>
        <w:br/>
        <w:t xml:space="preserve">Current workflows typically include integrating payer data (claims/eligibility/case records) with external clinical sources (EMRs, labs, SDoH/health equity signals), exchanging curated data slices with analytics vendors, applying frequent regulatory/spec updates, and producing quarterly or other reporting. Abacus explicitly lists these as “intraoperability”, “interoperability”, “data exchange”, “compliance”, and “reporting.” </w:t>
      </w:r>
      <w:hyperlink r:id="rId56">
        <w:r>
          <w:rPr>
            <w:rStyle w:val="Hyperlink"/>
          </w:rPr>
          <w:t>[47]</w:t>
        </w:r>
      </w:hyperlink>
      <w:r>
        <w:br/>
        <w:t xml:space="preserve">Typical manual tasks: chart retrieval, coder review, evidence selection, discrepancy triage, vendor coordination, and audit response preparation. Regulatory audits in Medicare Advantage (RADV) validate diagnoses against medical record documentation and are a material operational driver. </w:t>
      </w:r>
      <w:hyperlink r:id="rId57">
        <w:r>
          <w:rPr>
            <w:rStyle w:val="Hyperlink"/>
          </w:rPr>
          <w:t>[48]</w:t>
        </w:r>
      </w:hyperlink>
      <w:r>
        <w:br/>
        <w:t xml:space="preserve">Data types: claims, eligibility, case management records, EMR extracts, lab results, and documentation artefacts used to substantiate diagnoses. </w:t>
      </w:r>
      <w:hyperlink r:id="rId58">
        <w:r>
          <w:rPr>
            <w:rStyle w:val="Hyperlink"/>
          </w:rPr>
          <w:t>[49]</w:t>
        </w:r>
      </w:hyperlink>
      <w:r>
        <w:br/>
        <w:t xml:space="preserve">Integration points: encounter/claims submission pipelines, risk analytics vendors, document management and chart retrieval channels, and payer reporting environments. </w:t>
      </w:r>
      <w:hyperlink r:id="rId59">
        <w:r>
          <w:rPr>
            <w:rStyle w:val="Hyperlink"/>
          </w:rPr>
          <w:t>[50]</w:t>
        </w:r>
      </w:hyperlink>
      <w:r>
        <w:br/>
        <w:t xml:space="preserve">Regulatory constraints: correctness and documentation substantiation. CMS RADV </w:t>
      </w:r>
      <w:r>
        <w:lastRenderedPageBreak/>
        <w:t xml:space="preserve">materials describe audits validating diagnoses (mapped to HCCs) from medical record documentation, which makes explainability and evidence traceability non-negotiable. </w:t>
      </w:r>
      <w:hyperlink r:id="rId60">
        <w:r>
          <w:rPr>
            <w:rStyle w:val="Hyperlink"/>
          </w:rPr>
          <w:t>[51]</w:t>
        </w:r>
      </w:hyperlink>
      <w:r>
        <w:br/>
        <w:t xml:space="preserve">Estimated AI automation efficiency gain: </w:t>
      </w:r>
      <w:r>
        <w:rPr>
          <w:b/>
          <w:bCs/>
        </w:rPr>
        <w:t>25–45%</w:t>
      </w:r>
      <w:r>
        <w:t xml:space="preserve"> (confidence </w:t>
      </w:r>
      <w:r>
        <w:rPr>
          <w:b/>
          <w:bCs/>
        </w:rPr>
        <w:t>65/100</w:t>
      </w:r>
      <w:r>
        <w:t xml:space="preserve">). Rationale: chart review and abstraction are labour-intensive and empirically compressible with NLP assistance, but compliance requirements cap “full automation” and require rigorous QA. </w:t>
      </w:r>
      <w:hyperlink r:id="rId61">
        <w:r>
          <w:rPr>
            <w:rStyle w:val="Hyperlink"/>
          </w:rPr>
          <w:t>[52]</w:t>
        </w:r>
      </w:hyperlink>
      <w:r>
        <w:br/>
        <w:t xml:space="preserve">Key AI use cases and required technologies: clinical NLP to identify candidate HCC evidence, LLM-guided “evidence packs” that link extracted statements to source pages, discrepancy prediction to focus coder time, and automated regulatory update impact analysis (what spec changes break which pipelines). Models must support negation/temporality and produce auditable outputs. </w:t>
      </w:r>
      <w:hyperlink r:id="rId62">
        <w:r>
          <w:rPr>
            <w:rStyle w:val="Hyperlink"/>
          </w:rPr>
          <w:t>[53]</w:t>
        </w:r>
      </w:hyperlink>
      <w:r>
        <w:br/>
        <w:t xml:space="preserve">Implementation complexity, data readiness, and risks: </w:t>
      </w:r>
      <w:r>
        <w:rPr>
          <w:b/>
          <w:bCs/>
        </w:rPr>
        <w:t>High complexity</w:t>
      </w:r>
      <w:r>
        <w:t xml:space="preserve">; data readiness is often </w:t>
      </w:r>
      <w:r>
        <w:rPr>
          <w:b/>
          <w:bCs/>
        </w:rPr>
        <w:t>medium–low</w:t>
      </w:r>
      <w:r>
        <w:t xml:space="preserve"> because the hardest data (unstructured notes/scanned documents) is inconsistent. Principal risks are non-defensible coding suggestions and audit exposure; mitigation is strict human-in-the-loop, deterministic guardrails, and provenance-by-default. </w:t>
      </w:r>
      <w:hyperlink r:id="rId63">
        <w:r>
          <w:rPr>
            <w:rStyle w:val="Hyperlink"/>
          </w:rPr>
          <w:t>[54]</w:t>
        </w:r>
      </w:hyperlink>
    </w:p>
    <w:p w14:paraId="4923E3B1" w14:textId="77777777" w:rsidR="00C56B92" w:rsidRDefault="00000000">
      <w:pPr>
        <w:pStyle w:val="BodyText"/>
      </w:pPr>
      <w:r>
        <w:rPr>
          <w:b/>
          <w:bCs/>
        </w:rPr>
        <w:t>Data Transformation Platform and managed data operations</w:t>
      </w:r>
      <w:r>
        <w:br/>
        <w:t xml:space="preserve">Current workflows: ingest disparate sources (batch/API/CDC), standardise and improve data quality, perform entity resolution and enrichment, maintain a unified data foundation, and distribute data to multiple consumers and downstream applications. </w:t>
      </w:r>
      <w:hyperlink r:id="rId64">
        <w:r>
          <w:rPr>
            <w:rStyle w:val="Hyperlink"/>
          </w:rPr>
          <w:t>[15]</w:t>
        </w:r>
      </w:hyperlink>
      <w:r>
        <w:br/>
        <w:t xml:space="preserve">Typical manual tasks (in many payer data programmes): source onboarding and mapping, rule authoring for quality checks, data pipeline triage, schema drift remediation, identity matching exceptions, and stakeholder-specific extract creation. Abacus indicates it provides “concierge data management services” and “enterprise data operations at scale,” signalling continuous operational effort where AI can reduce repetitive engineering work. </w:t>
      </w:r>
      <w:hyperlink r:id="rId65">
        <w:r>
          <w:rPr>
            <w:rStyle w:val="Hyperlink"/>
          </w:rPr>
          <w:t>[55]</w:t>
        </w:r>
      </w:hyperlink>
      <w:r>
        <w:br/>
        <w:t xml:space="preserve">Data types: broad—claims, pharmacy, membership, lab/clinical, legacy systems, SDoH/consumer, etc. </w:t>
      </w:r>
      <w:hyperlink r:id="rId66">
        <w:r>
          <w:rPr>
            <w:rStyle w:val="Hyperlink"/>
          </w:rPr>
          <w:t>[56]</w:t>
        </w:r>
      </w:hyperlink>
      <w:r>
        <w:br/>
        <w:t>Integration points: payer core admin stacks and analytics ecosystems; Abacus notes real-world deployments using Amazon Web Services</w:t>
      </w:r>
      <w:hyperlink r:id="rId67">
        <w:r>
          <w:rPr>
            <w:rStyle w:val="Hyperlink"/>
          </w:rPr>
          <w:t>[57]</w:t>
        </w:r>
      </w:hyperlink>
      <w:r>
        <w:t xml:space="preserve"> with Snowflake</w:t>
      </w:r>
      <w:hyperlink r:id="rId68">
        <w:r>
          <w:rPr>
            <w:rStyle w:val="Hyperlink"/>
          </w:rPr>
          <w:t>[58]</w:t>
        </w:r>
      </w:hyperlink>
      <w:r>
        <w:t xml:space="preserve"> and Databricks</w:t>
      </w:r>
      <w:hyperlink r:id="rId69">
        <w:r>
          <w:rPr>
            <w:rStyle w:val="Hyperlink"/>
          </w:rPr>
          <w:t>[59]</w:t>
        </w:r>
      </w:hyperlink>
      <w:r>
        <w:t xml:space="preserve"> modules in a Blue plan installation. </w:t>
      </w:r>
      <w:hyperlink r:id="rId70">
        <w:r>
          <w:rPr>
            <w:rStyle w:val="Hyperlink"/>
          </w:rPr>
          <w:t>[60]</w:t>
        </w:r>
      </w:hyperlink>
      <w:r>
        <w:br/>
        <w:t xml:space="preserve">Regulatory constraints: PHI/PII controls and auditability; Abacus emphasises SOC2/HITRUST/NIST alignment and HIPAA controls. </w:t>
      </w:r>
      <w:hyperlink r:id="rId71">
        <w:r>
          <w:rPr>
            <w:rStyle w:val="Hyperlink"/>
          </w:rPr>
          <w:t>[23]</w:t>
        </w:r>
      </w:hyperlink>
      <w:r>
        <w:br/>
        <w:t xml:space="preserve">Estimated AI automation efficiency gain: </w:t>
      </w:r>
      <w:r>
        <w:rPr>
          <w:b/>
          <w:bCs/>
        </w:rPr>
        <w:t>20–40%</w:t>
      </w:r>
      <w:r>
        <w:t xml:space="preserve"> (confidence </w:t>
      </w:r>
      <w:r>
        <w:rPr>
          <w:b/>
          <w:bCs/>
        </w:rPr>
        <w:t>60/100</w:t>
      </w:r>
      <w:r>
        <w:t xml:space="preserve">). Rationale: data engineering and operations contain many repeatable patterns (mapping, QA, pipeline repair), and Abacus already structures the work into ingestion/enrichment/distribution stages; however, incremental gains depend on how much is already automated in the existing “connector factory” and operational toolchain. </w:t>
      </w:r>
      <w:hyperlink r:id="rId72">
        <w:r>
          <w:rPr>
            <w:rStyle w:val="Hyperlink"/>
          </w:rPr>
          <w:t>[61]</w:t>
        </w:r>
      </w:hyperlink>
      <w:r>
        <w:br/>
        <w:t xml:space="preserve">Key AI use cases and required technologies: LLM-assisted mapping and code generation (SQL/ETL configs) with policy constraints, ML-based entity resolution and anomaly detection, automated lineage extraction, and “copilot” tooling for incident diagnosis (root cause summaries with links to logs and diffs). </w:t>
      </w:r>
      <w:hyperlink r:id="rId73">
        <w:r>
          <w:rPr>
            <w:rStyle w:val="Hyperlink"/>
          </w:rPr>
          <w:t>[62]</w:t>
        </w:r>
      </w:hyperlink>
      <w:r>
        <w:br/>
        <w:t xml:space="preserve">Implementation complexity, data readiness, and risks: </w:t>
      </w:r>
      <w:r>
        <w:rPr>
          <w:b/>
          <w:bCs/>
        </w:rPr>
        <w:t>High complexity</w:t>
      </w:r>
      <w:r>
        <w:t xml:space="preserve"> because it </w:t>
      </w:r>
      <w:r>
        <w:lastRenderedPageBreak/>
        <w:t xml:space="preserve">touches core data plumbing. Data readiness is </w:t>
      </w:r>
      <w:r>
        <w:rPr>
          <w:b/>
          <w:bCs/>
        </w:rPr>
        <w:t>variable</w:t>
      </w:r>
      <w:r>
        <w:t xml:space="preserve"> but generally better than clinical-only domains because claims/eligibility are structured. Risks: propagation of silent data quality errors and security misconfiguration; mitigations: test harnesses, data contracts, and continuous controls monitoring. </w:t>
      </w:r>
      <w:hyperlink r:id="rId74">
        <w:r>
          <w:rPr>
            <w:rStyle w:val="Hyperlink"/>
          </w:rPr>
          <w:t>[63]</w:t>
        </w:r>
      </w:hyperlink>
    </w:p>
    <w:p w14:paraId="00E2D87E" w14:textId="77777777" w:rsidR="00C56B92" w:rsidRDefault="00000000">
      <w:pPr>
        <w:pStyle w:val="BodyText"/>
      </w:pPr>
      <w:r>
        <w:rPr>
          <w:b/>
          <w:bCs/>
        </w:rPr>
        <w:t>Clinical Data Solution</w:t>
      </w:r>
      <w:r>
        <w:br/>
        <w:t xml:space="preserve">Current workflows: integrate and validate clinical data from HIEs/EMRs/digital applications with payer claims/eligibility/case management to produce longitudinal patient records and deliver clinically relevant data to payer operations (quality, VBC, population health). </w:t>
      </w:r>
      <w:hyperlink r:id="rId75">
        <w:r>
          <w:rPr>
            <w:rStyle w:val="Hyperlink"/>
          </w:rPr>
          <w:t>[20]</w:t>
        </w:r>
      </w:hyperlink>
      <w:r>
        <w:br/>
        <w:t xml:space="preserve">Typical manual tasks: source normalisation, identity matching, clinical concept extraction from unstructured content, and creating fit-for-purpose “slices” for downstream use cases. </w:t>
      </w:r>
      <w:hyperlink r:id="rId76">
        <w:r>
          <w:rPr>
            <w:rStyle w:val="Hyperlink"/>
          </w:rPr>
          <w:t>[20]</w:t>
        </w:r>
      </w:hyperlink>
      <w:r>
        <w:br/>
        <w:t xml:space="preserve">Data types: structured clinical feeds, labs, and often unstructured clinical notes/documents; Abacus explicitly references “extracts and delivers pertinent clinical data” and creating longitudinal histories. </w:t>
      </w:r>
      <w:hyperlink r:id="rId77">
        <w:r>
          <w:rPr>
            <w:rStyle w:val="Hyperlink"/>
          </w:rPr>
          <w:t>[20]</w:t>
        </w:r>
      </w:hyperlink>
      <w:r>
        <w:br/>
        <w:t xml:space="preserve">Integration points: HIEs, provider EMRs, care management systems, and payer analytics environments; this vertical also becomes an upstream dependency for HEDIS/Stars and value-based contracting. </w:t>
      </w:r>
      <w:hyperlink r:id="rId78">
        <w:r>
          <w:rPr>
            <w:rStyle w:val="Hyperlink"/>
          </w:rPr>
          <w:t>[64]</w:t>
        </w:r>
      </w:hyperlink>
      <w:r>
        <w:br/>
        <w:t xml:space="preserve">Regulatory constraints: PHI governance and interoperability expectations, covered by Abacus’ security/compliance posture. </w:t>
      </w:r>
      <w:hyperlink r:id="rId79">
        <w:r>
          <w:rPr>
            <w:rStyle w:val="Hyperlink"/>
          </w:rPr>
          <w:t>[23]</w:t>
        </w:r>
      </w:hyperlink>
      <w:r>
        <w:br/>
        <w:t xml:space="preserve">Estimated AI automation efficiency gain: </w:t>
      </w:r>
      <w:r>
        <w:rPr>
          <w:b/>
          <w:bCs/>
        </w:rPr>
        <w:t>15–35%</w:t>
      </w:r>
      <w:r>
        <w:t xml:space="preserve"> (confidence </w:t>
      </w:r>
      <w:r>
        <w:rPr>
          <w:b/>
          <w:bCs/>
        </w:rPr>
        <w:t>55/100</w:t>
      </w:r>
      <w:r>
        <w:t xml:space="preserve">). Rationale: high automation potential in clinical abstraction and summarisation, but upstream data heterogeneity and identity resolution constraints limit “clean” automation at scale. </w:t>
      </w:r>
      <w:hyperlink r:id="rId80">
        <w:r>
          <w:rPr>
            <w:rStyle w:val="Hyperlink"/>
          </w:rPr>
          <w:t>[9]</w:t>
        </w:r>
      </w:hyperlink>
      <w:r>
        <w:br/>
        <w:t xml:space="preserve">Key AI use cases and required technologies: clinical NLP for problem lists, meds, labs, and events; LLM summarisation for longitudinal records with citations; de-duplication and temporal reasoning. Strong need for RAG and safety layers due to PHI and downstream clinical impacts. </w:t>
      </w:r>
      <w:hyperlink r:id="rId81">
        <w:r>
          <w:rPr>
            <w:rStyle w:val="Hyperlink"/>
          </w:rPr>
          <w:t>[63]</w:t>
        </w:r>
      </w:hyperlink>
      <w:r>
        <w:br/>
        <w:t xml:space="preserve">Implementation complexity, data readiness, and risks: </w:t>
      </w:r>
      <w:r>
        <w:rPr>
          <w:b/>
          <w:bCs/>
        </w:rPr>
        <w:t>High complexity</w:t>
      </w:r>
      <w:r>
        <w:t xml:space="preserve">; data readiness often </w:t>
      </w:r>
      <w:r>
        <w:rPr>
          <w:b/>
          <w:bCs/>
        </w:rPr>
        <w:t>low–medium</w:t>
      </w:r>
      <w:r>
        <w:t xml:space="preserve"> due to source variability. Risks: incorrect member matching and misinterpretation of clinical context; mitigation: probabilistic matching with thresholds, clinician-reviewed gold sets, and strict provenance. </w:t>
      </w:r>
      <w:hyperlink r:id="rId82">
        <w:r>
          <w:rPr>
            <w:rStyle w:val="Hyperlink"/>
          </w:rPr>
          <w:t>[63]</w:t>
        </w:r>
      </w:hyperlink>
    </w:p>
    <w:p w14:paraId="19980F6D" w14:textId="77777777" w:rsidR="00C56B92" w:rsidRDefault="00000000">
      <w:pPr>
        <w:pStyle w:val="BodyText"/>
      </w:pPr>
      <w:r>
        <w:rPr>
          <w:b/>
          <w:bCs/>
        </w:rPr>
        <w:t>Stars Performance</w:t>
      </w:r>
      <w:r>
        <w:br/>
        <w:t xml:space="preserve">Current workflows: consolidate multiple measure streams (HEDIS, Part D, CAHPS/HOS, operational measures), compute dashboards and projected cut-points, prioritise members/providers/measures for interventions, and distribute results across the organisation. Abacus positions its solution as eliminating manual wrangling from multiple sources and manually integrating vendor outputs, and as automating distribution into BI/analytics/AI platforms. </w:t>
      </w:r>
      <w:hyperlink r:id="rId83">
        <w:r>
          <w:rPr>
            <w:rStyle w:val="Hyperlink"/>
          </w:rPr>
          <w:t>[22]</w:t>
        </w:r>
      </w:hyperlink>
      <w:r>
        <w:br/>
        <w:t xml:space="preserve">Typical manual tasks: stitching vendor outputs, reconciliation of measure definitions, segmentation for outreach, narrative generation for leadership reviews, and operational planning. </w:t>
      </w:r>
      <w:hyperlink r:id="rId84">
        <w:r>
          <w:rPr>
            <w:rStyle w:val="Hyperlink"/>
          </w:rPr>
          <w:t>[22]</w:t>
        </w:r>
      </w:hyperlink>
      <w:r>
        <w:br/>
        <w:t xml:space="preserve">Data types: measure scores, member-level adherence indicators, survey outputs, pharmacy adherence, and contract-level aggregations. </w:t>
      </w:r>
      <w:hyperlink r:id="rId85">
        <w:r>
          <w:rPr>
            <w:rStyle w:val="Hyperlink"/>
          </w:rPr>
          <w:t>[22]</w:t>
        </w:r>
      </w:hyperlink>
      <w:r>
        <w:br/>
        <w:t xml:space="preserve">Integration points: Stars analytics vendors, BI tools, care management/outreach systems. </w:t>
      </w:r>
      <w:r>
        <w:lastRenderedPageBreak/>
        <w:t>A joint Abacus + ZS</w:t>
      </w:r>
      <w:hyperlink r:id="rId86">
        <w:r>
          <w:rPr>
            <w:rStyle w:val="Hyperlink"/>
          </w:rPr>
          <w:t>[65]</w:t>
        </w:r>
      </w:hyperlink>
      <w:r>
        <w:t xml:space="preserve"> case study describes delivery of dashboards, measure prioritisation methodologies, and training/SOPs on top of an “insights-ready data” foundation. </w:t>
      </w:r>
      <w:hyperlink r:id="rId87">
        <w:r>
          <w:rPr>
            <w:rStyle w:val="Hyperlink"/>
          </w:rPr>
          <w:t>[66]</w:t>
        </w:r>
      </w:hyperlink>
      <w:r>
        <w:br/>
        <w:t>Regulatory constraints and incentives: Star Ratings affect Medicare Advantage payments; a Urban Institute</w:t>
      </w:r>
      <w:hyperlink r:id="rId88">
        <w:r>
          <w:rPr>
            <w:rStyle w:val="Hyperlink"/>
          </w:rPr>
          <w:t>[67]</w:t>
        </w:r>
      </w:hyperlink>
      <w:r>
        <w:t xml:space="preserve"> analysis notes contracts with 4+ stars receive a 5% benchmark increase (and other payment effects). </w:t>
      </w:r>
      <w:hyperlink r:id="rId89">
        <w:r>
          <w:rPr>
            <w:rStyle w:val="Hyperlink"/>
          </w:rPr>
          <w:t>[68]</w:t>
        </w:r>
      </w:hyperlink>
      <w:r>
        <w:br/>
        <w:t xml:space="preserve">Important “tell it like it is” note: Abacus’ Stars page states it will incorporate a “Health Equity Index” change for 2027; however, CMS’s contract year 2027 final rule states CMS is </w:t>
      </w:r>
      <w:r>
        <w:rPr>
          <w:b/>
          <w:bCs/>
        </w:rPr>
        <w:t>not</w:t>
      </w:r>
      <w:r>
        <w:t xml:space="preserve"> implementing the Excellent Health Outcomes for All reward (previously called the Health Equity Index reward) for the 2027 Star Ratings and will continue the historical reward factor. This discrepancy should be treated as a change-management risk: the Stars domain is policy-sensitive and your automation roadmap must assume measure sets and scoring methodology can shift late. </w:t>
      </w:r>
      <w:hyperlink r:id="rId90">
        <w:r>
          <w:rPr>
            <w:rStyle w:val="Hyperlink"/>
          </w:rPr>
          <w:t>[69]</w:t>
        </w:r>
      </w:hyperlink>
      <w:r>
        <w:br/>
        <w:t xml:space="preserve">Estimated AI automation efficiency gain: </w:t>
      </w:r>
      <w:r>
        <w:rPr>
          <w:b/>
          <w:bCs/>
        </w:rPr>
        <w:t>12–28%</w:t>
      </w:r>
      <w:r>
        <w:t xml:space="preserve"> (confidence </w:t>
      </w:r>
      <w:r>
        <w:rPr>
          <w:b/>
          <w:bCs/>
        </w:rPr>
        <w:t>55/100</w:t>
      </w:r>
      <w:r>
        <w:t xml:space="preserve">). Rationale: the vertical’s effort is less about clerical processing and more about prioritisation and interventions; AI gains come from faster insight generation and targeting, not eliminating human decision loops. </w:t>
      </w:r>
      <w:hyperlink r:id="rId91">
        <w:r>
          <w:rPr>
            <w:rStyle w:val="Hyperlink"/>
          </w:rPr>
          <w:t>[70]</w:t>
        </w:r>
      </w:hyperlink>
      <w:r>
        <w:br/>
        <w:t xml:space="preserve">Key AI use cases and required technologies: forecasting cut-points and performance trajectories, causal/driver analysis, automated segmentation and next-best-action suggestions, and LLM-generated executive narratives with traceable metric references. </w:t>
      </w:r>
      <w:hyperlink r:id="rId92">
        <w:r>
          <w:rPr>
            <w:rStyle w:val="Hyperlink"/>
          </w:rPr>
          <w:t>[22]</w:t>
        </w:r>
      </w:hyperlink>
      <w:r>
        <w:br/>
        <w:t xml:space="preserve">Implementation complexity, data readiness, and risks: </w:t>
      </w:r>
      <w:r>
        <w:rPr>
          <w:b/>
          <w:bCs/>
        </w:rPr>
        <w:t>Medium complexity</w:t>
      </w:r>
      <w:r>
        <w:t xml:space="preserve">; data readiness </w:t>
      </w:r>
      <w:r>
        <w:rPr>
          <w:b/>
          <w:bCs/>
        </w:rPr>
        <w:t>medium–high</w:t>
      </w:r>
      <w:r>
        <w:t xml:space="preserve"> because many inputs are structured. Risks: overfitting forecasts and policy changes; mitigations: scenario planning and model monitoring tied to CMS/NCQA updates. </w:t>
      </w:r>
      <w:hyperlink r:id="rId93">
        <w:r>
          <w:rPr>
            <w:rStyle w:val="Hyperlink"/>
          </w:rPr>
          <w:t>[71]</w:t>
        </w:r>
      </w:hyperlink>
    </w:p>
    <w:p w14:paraId="79947E2B" w14:textId="77777777" w:rsidR="00C56B92" w:rsidRDefault="00000000">
      <w:pPr>
        <w:pStyle w:val="BodyText"/>
      </w:pPr>
      <w:r>
        <w:rPr>
          <w:b/>
          <w:bCs/>
        </w:rPr>
        <w:t>CMS Interoperability</w:t>
      </w:r>
      <w:r>
        <w:br/>
        <w:t xml:space="preserve">Current workflows: implement and operate mandated FHIR APIs (patient access, provider access, payer-to-payer), manage consent/attribution and opt-in/opt-out, report API usage metrics, and meet prior authorisation transparency and metrics reporting requirements. CMS states that API requirements must be implemented by Jan 1, 2027, while operational policies and some reporting begin Jan 1, 2026, including initial metrics due by March 31, 2026. </w:t>
      </w:r>
      <w:hyperlink r:id="rId94">
        <w:r>
          <w:rPr>
            <w:rStyle w:val="Hyperlink"/>
          </w:rPr>
          <w:t>[72]</w:t>
        </w:r>
      </w:hyperlink>
      <w:r>
        <w:br/>
        <w:t xml:space="preserve">Abacus’ CMS interoperability solution describes turnkey compliance modules for these APIs and ePA support, integrated with an interoperability partner platform, and designed for modular deployment. </w:t>
      </w:r>
      <w:hyperlink r:id="rId95">
        <w:r>
          <w:rPr>
            <w:rStyle w:val="Hyperlink"/>
          </w:rPr>
          <w:t>[17]</w:t>
        </w:r>
      </w:hyperlink>
      <w:r>
        <w:br/>
        <w:t xml:space="preserve">Typical manual tasks: mapping internal data into FHIR profiles, conformance testing, operational monitoring and incident response, metrics computation and publication, and partner onboarding/testing for provider/payer endpoints. </w:t>
      </w:r>
      <w:hyperlink r:id="rId96">
        <w:r>
          <w:rPr>
            <w:rStyle w:val="Hyperlink"/>
          </w:rPr>
          <w:t>[73]</w:t>
        </w:r>
      </w:hyperlink>
      <w:r>
        <w:br/>
        <w:t xml:space="preserve">Data types: claims/encounters and related USCDI elements, formulary and explanation of benefits, prior authorisation status information. </w:t>
      </w:r>
      <w:hyperlink r:id="rId97">
        <w:r>
          <w:rPr>
            <w:rStyle w:val="Hyperlink"/>
          </w:rPr>
          <w:t>[74]</w:t>
        </w:r>
      </w:hyperlink>
      <w:r>
        <w:br/>
        <w:t xml:space="preserve">Integration points: FHIR server, member identity management/consent services, UM/prior auth platforms, and provider EHR interfaces; Abacus’ product sheet references end-to-end management across data integration/conversion and technical </w:t>
      </w:r>
      <w:r>
        <w:lastRenderedPageBreak/>
        <w:t xml:space="preserve">implementation/maintenance, and highlights scale metrics (30M+ member lives covered; 230+ connectors; 55+ standard data models). </w:t>
      </w:r>
      <w:hyperlink r:id="rId98">
        <w:r>
          <w:rPr>
            <w:rStyle w:val="Hyperlink"/>
          </w:rPr>
          <w:t>[75]</w:t>
        </w:r>
      </w:hyperlink>
      <w:r>
        <w:br/>
        <w:t xml:space="preserve">Regulatory constraints: strict correctness, privacy, and operational SLA-type requirements; HIPAA enforcement/discretion decisions and public reporting requirements further constrain “black box” automation. </w:t>
      </w:r>
      <w:hyperlink r:id="rId99">
        <w:r>
          <w:rPr>
            <w:rStyle w:val="Hyperlink"/>
          </w:rPr>
          <w:t>[76]</w:t>
        </w:r>
      </w:hyperlink>
      <w:r>
        <w:br/>
        <w:t xml:space="preserve">Estimated AI automation efficiency gain: </w:t>
      </w:r>
      <w:r>
        <w:rPr>
          <w:b/>
          <w:bCs/>
        </w:rPr>
        <w:t>10–25%</w:t>
      </w:r>
      <w:r>
        <w:t xml:space="preserve"> (confidence </w:t>
      </w:r>
      <w:r>
        <w:rPr>
          <w:b/>
          <w:bCs/>
        </w:rPr>
        <w:t>60/100</w:t>
      </w:r>
      <w:r>
        <w:t xml:space="preserve">). Rationale: many tasks (testing, documentation, monitoring, mapping suggestions) are automatable, but the “core API contract” must remain deterministic and compliant, so AI mostly augments engineering rather than replaces it. </w:t>
      </w:r>
      <w:hyperlink r:id="rId100">
        <w:r>
          <w:rPr>
            <w:rStyle w:val="Hyperlink"/>
          </w:rPr>
          <w:t>[77]</w:t>
        </w:r>
      </w:hyperlink>
      <w:r>
        <w:br/>
        <w:t xml:space="preserve">Key AI use cases and required technologies: LLM-assisted FHIR mapping and test-case generation, synthetic data generation for conformance testing, log anomaly detection, and automated drafting of implementation artefacts (runbooks, data dictionaries). </w:t>
      </w:r>
      <w:hyperlink r:id="rId101">
        <w:r>
          <w:rPr>
            <w:rStyle w:val="Hyperlink"/>
          </w:rPr>
          <w:t>[78]</w:t>
        </w:r>
      </w:hyperlink>
      <w:r>
        <w:br/>
        <w:t xml:space="preserve">Implementation complexity, data readiness, and risks: </w:t>
      </w:r>
      <w:r>
        <w:rPr>
          <w:b/>
          <w:bCs/>
        </w:rPr>
        <w:t>High complexity</w:t>
      </w:r>
      <w:r>
        <w:t xml:space="preserve">; data readiness varies by how cleanly claims/UM data are structured. Risks: non-compliant outputs and PHI leakage; mitigations: strict separation of deterministic API logic from AI tooling, plus audit-ready governance. </w:t>
      </w:r>
      <w:hyperlink r:id="rId102">
        <w:r>
          <w:rPr>
            <w:rStyle w:val="Hyperlink"/>
          </w:rPr>
          <w:t>[76]</w:t>
        </w:r>
      </w:hyperlink>
    </w:p>
    <w:p w14:paraId="50B93E74" w14:textId="77777777" w:rsidR="00C56B92" w:rsidRDefault="00000000">
      <w:pPr>
        <w:pStyle w:val="BodyText"/>
      </w:pPr>
      <w:r>
        <w:rPr>
          <w:b/>
          <w:bCs/>
        </w:rPr>
        <w:t>Cost of Care Management</w:t>
      </w:r>
      <w:r>
        <w:br/>
        <w:t xml:space="preserve">Current workflows: calculate and monitor total medical cost across lines of business during the claims process, support reserves and forecasting, and enable value-based arrangement pricing and performance measurement. Abacus states it consolidates and validates claims data across payer systems, PBMs, UM companies, delegated entities, and providers. </w:t>
      </w:r>
      <w:hyperlink r:id="rId103">
        <w:r>
          <w:rPr>
            <w:rStyle w:val="Hyperlink"/>
          </w:rPr>
          <w:t>[21]</w:t>
        </w:r>
      </w:hyperlink>
      <w:r>
        <w:br/>
        <w:t xml:space="preserve">Typical manual tasks: reconciliation and lag management across adjudication stages, exception investigation for cost spikes, and building/refreshing analyses for leadership and actuarial teams. </w:t>
      </w:r>
      <w:hyperlink r:id="rId104">
        <w:r>
          <w:rPr>
            <w:rStyle w:val="Hyperlink"/>
          </w:rPr>
          <w:t>[21]</w:t>
        </w:r>
      </w:hyperlink>
      <w:r>
        <w:br/>
        <w:t xml:space="preserve">Data types: claims (paid and in-flight), utilisation signals, provider contracting metadata, and derived cost metrics. </w:t>
      </w:r>
      <w:hyperlink r:id="rId105">
        <w:r>
          <w:rPr>
            <w:rStyle w:val="Hyperlink"/>
          </w:rPr>
          <w:t>[21]</w:t>
        </w:r>
      </w:hyperlink>
      <w:r>
        <w:br/>
        <w:t xml:space="preserve">Integration points: claims engines, finance/actuarial systems, analytics marts, and contracting tools. </w:t>
      </w:r>
      <w:hyperlink r:id="rId106">
        <w:r>
          <w:rPr>
            <w:rStyle w:val="Hyperlink"/>
          </w:rPr>
          <w:t>[21]</w:t>
        </w:r>
      </w:hyperlink>
      <w:r>
        <w:br/>
        <w:t xml:space="preserve">Regulatory constraints: while not a single “one rule” domain, payer economics are constrained by medical loss ratio expectations; CMS explains the ACA requires insurers to spend at least 80% or 85% of premium dollars on medical care (MLR rule), which makes cost-of-care monitoring operationally material. </w:t>
      </w:r>
      <w:hyperlink r:id="rId107">
        <w:r>
          <w:rPr>
            <w:rStyle w:val="Hyperlink"/>
          </w:rPr>
          <w:t>[79]</w:t>
        </w:r>
      </w:hyperlink>
      <w:r>
        <w:br/>
        <w:t xml:space="preserve">Estimated AI automation efficiency gain: </w:t>
      </w:r>
      <w:r>
        <w:rPr>
          <w:b/>
          <w:bCs/>
        </w:rPr>
        <w:t>10–20%</w:t>
      </w:r>
      <w:r>
        <w:t xml:space="preserve"> (confidence </w:t>
      </w:r>
      <w:r>
        <w:rPr>
          <w:b/>
          <w:bCs/>
        </w:rPr>
        <w:t>50/100</w:t>
      </w:r>
      <w:r>
        <w:t xml:space="preserve">). Rationale: AI helps most with forecasting, anomaly detection, and narrative summarisation, but many core computations are already automated; the remaining bottleneck is decision cadence and governance rather than manual clerical processing. </w:t>
      </w:r>
      <w:hyperlink r:id="rId108">
        <w:r>
          <w:rPr>
            <w:rStyle w:val="Hyperlink"/>
          </w:rPr>
          <w:t>[80]</w:t>
        </w:r>
      </w:hyperlink>
      <w:r>
        <w:br/>
        <w:t xml:space="preserve">Key AI use cases and required technologies: time-series forecasting for emerging cost shifts, anomaly detection on claims streams, automated “cost driver” explanations for utilisation spikes, and scenario simulators for contracting sensitivity. </w:t>
      </w:r>
      <w:hyperlink r:id="rId109">
        <w:r>
          <w:rPr>
            <w:rStyle w:val="Hyperlink"/>
          </w:rPr>
          <w:t>[81]</w:t>
        </w:r>
      </w:hyperlink>
      <w:r>
        <w:br/>
        <w:t xml:space="preserve">Implementation complexity, data readiness, and risks: </w:t>
      </w:r>
      <w:r>
        <w:rPr>
          <w:b/>
          <w:bCs/>
        </w:rPr>
        <w:t>Medium complexity</w:t>
      </w:r>
      <w:r>
        <w:t xml:space="preserve">; data readiness typically </w:t>
      </w:r>
      <w:r>
        <w:rPr>
          <w:b/>
          <w:bCs/>
        </w:rPr>
        <w:t>high</w:t>
      </w:r>
      <w:r>
        <w:t xml:space="preserve"> for core claims but lower for delegated/provider feeds. Risks: </w:t>
      </w:r>
      <w:r>
        <w:lastRenderedPageBreak/>
        <w:t xml:space="preserve">spurious forecasts and operational overreaction; mitigations: backtesting, actuarial sign-off, and clear uncertainty communication. </w:t>
      </w:r>
      <w:hyperlink r:id="rId110">
        <w:r>
          <w:rPr>
            <w:rStyle w:val="Hyperlink"/>
          </w:rPr>
          <w:t>[81]</w:t>
        </w:r>
      </w:hyperlink>
    </w:p>
    <w:p w14:paraId="6D9DCFEA" w14:textId="77777777" w:rsidR="00C56B92" w:rsidRDefault="00000000">
      <w:pPr>
        <w:pStyle w:val="Heading2"/>
      </w:pPr>
      <w:bookmarkStart w:id="7" w:name="X3f5158b1c2fa84510e69f46720b54800467dfc7"/>
      <w:bookmarkEnd w:id="6"/>
      <w:r>
        <w:t>Roadmap recommendations and quick-win pilots</w:t>
      </w:r>
    </w:p>
    <w:p w14:paraId="5A3E33CD" w14:textId="77777777" w:rsidR="00C56B92" w:rsidRDefault="00000000">
      <w:pPr>
        <w:pStyle w:val="FirstParagraph"/>
      </w:pPr>
      <w:r>
        <w:t xml:space="preserve">A practical roadmap should treat Abacus Insights as a </w:t>
      </w:r>
      <w:r>
        <w:rPr>
          <w:b/>
          <w:bCs/>
        </w:rPr>
        <w:t>data and distribution backbone</w:t>
      </w:r>
      <w:r>
        <w:t xml:space="preserve"> first, then progressively layer AI where (1) evidence traceability is possible and (2) business owners can accept automation with controls. Abacus repeatedly positions “usable, insights-ready data” and governed foundations as prerequisites, which is directionally aligned with GenAI readiness patterns (trust, security, scalability, data usability). </w:t>
      </w:r>
      <w:hyperlink r:id="rId111">
        <w:r>
          <w:rPr>
            <w:rStyle w:val="Hyperlink"/>
          </w:rPr>
          <w:t>[82]</w:t>
        </w:r>
      </w:hyperlink>
    </w:p>
    <w:p w14:paraId="1F56199D" w14:textId="77777777" w:rsidR="00C56B92" w:rsidRDefault="00000000">
      <w:pPr>
        <w:pStyle w:val="BodyText"/>
      </w:pPr>
      <w:r>
        <w:t>Mermaid roadmap flowchart (phased, with pilot-driven scaling):</w:t>
      </w:r>
    </w:p>
    <w:p w14:paraId="2CE82440" w14:textId="77777777" w:rsidR="00C56B92" w:rsidRDefault="00000000">
      <w:pPr>
        <w:pStyle w:val="Heading3"/>
      </w:pPr>
      <w:bookmarkStart w:id="8" w:name="X8d571bf86db22d51ce3d1664d1e626b3e954ead"/>
      <w:r>
        <w:t>Quick-win pilots that are realistically deployable in weeks</w:t>
      </w:r>
    </w:p>
    <w:p w14:paraId="60C37AF9" w14:textId="77777777" w:rsidR="00C56B92" w:rsidRDefault="00000000">
      <w:pPr>
        <w:pStyle w:val="FirstParagraph"/>
      </w:pPr>
      <w:r>
        <w:rPr>
          <w:b/>
          <w:bCs/>
        </w:rPr>
        <w:t>Payment Integrity pilot: “reconciliation + triage copilot”</w:t>
      </w:r>
      <w:r>
        <w:br/>
        <w:t xml:space="preserve">Scope: automate cross-vendor output reconciliation, summarise anomalies, and generate evidence-linked case packets while preserving human decisioning. This directly targets Abacus’ stated “manual reconciliation” and “post-pay recovery burden” problem. </w:t>
      </w:r>
      <w:hyperlink r:id="rId112">
        <w:r>
          <w:rPr>
            <w:rStyle w:val="Hyperlink"/>
          </w:rPr>
          <w:t>[83]</w:t>
        </w:r>
      </w:hyperlink>
      <w:r>
        <w:br/>
        <w:t xml:space="preserve">Why it’s a quick win: high availability of structured claims data plus immediate measurable metrics (recovery cycle time, analyst touch time). </w:t>
      </w:r>
      <w:hyperlink r:id="rId113">
        <w:r>
          <w:rPr>
            <w:rStyle w:val="Hyperlink"/>
          </w:rPr>
          <w:t>[36]</w:t>
        </w:r>
      </w:hyperlink>
    </w:p>
    <w:p w14:paraId="4651867C" w14:textId="77777777" w:rsidR="00C56B92" w:rsidRDefault="00000000">
      <w:pPr>
        <w:pStyle w:val="BodyText"/>
      </w:pPr>
      <w:r>
        <w:rPr>
          <w:b/>
          <w:bCs/>
        </w:rPr>
        <w:t>HEDIS pilot: “spec-change diff + mapping automation”</w:t>
      </w:r>
      <w:r>
        <w:br/>
        <w:t xml:space="preserve">Scope: use LLM tooling (inside a secure environment) to detect HEDIS spec deltas, propose mapping changes, generate extract configs, and pre-fill audit documentation drafts with lineage references. This matches Abacus’ emphasis on automated mapping/configuration and reducing rework from spec changes. </w:t>
      </w:r>
      <w:hyperlink r:id="rId114">
        <w:r>
          <w:rPr>
            <w:rStyle w:val="Hyperlink"/>
          </w:rPr>
          <w:t>[84]</w:t>
        </w:r>
      </w:hyperlink>
      <w:r>
        <w:br/>
        <w:t xml:space="preserve">Why it’s a quick win: most artefacts are text/config oriented; outputs can be validated deterministically before use. </w:t>
      </w:r>
      <w:hyperlink r:id="rId115">
        <w:r>
          <w:rPr>
            <w:rStyle w:val="Hyperlink"/>
          </w:rPr>
          <w:t>[85]</w:t>
        </w:r>
      </w:hyperlink>
    </w:p>
    <w:p w14:paraId="40A12FB1" w14:textId="77777777" w:rsidR="00C56B92" w:rsidRDefault="00000000">
      <w:pPr>
        <w:pStyle w:val="BodyText"/>
      </w:pPr>
      <w:r>
        <w:rPr>
          <w:b/>
          <w:bCs/>
        </w:rPr>
        <w:t>Risk adjustment pilot: “evidence packs for coder review”</w:t>
      </w:r>
      <w:r>
        <w:br/>
        <w:t xml:space="preserve">Scope: NLP extracts candidate HCC evidence from charts and produces an “evidence pack” with source references for coder validation; measure outcomes are coder productivity and reduction in missed evidence searches. This directly addresses audit-defensibility pressures described in CMS RADV materials. </w:t>
      </w:r>
      <w:hyperlink r:id="rId116">
        <w:r>
          <w:rPr>
            <w:rStyle w:val="Hyperlink"/>
          </w:rPr>
          <w:t>[86]</w:t>
        </w:r>
      </w:hyperlink>
    </w:p>
    <w:p w14:paraId="02AF81AE" w14:textId="77777777" w:rsidR="00C56B92" w:rsidRDefault="00000000">
      <w:pPr>
        <w:pStyle w:val="Heading3"/>
      </w:pPr>
      <w:bookmarkStart w:id="9" w:name="Xb71bf641d758a12bf9a6c1354dd52e1ec52ada1"/>
      <w:bookmarkEnd w:id="8"/>
      <w:r>
        <w:t>Twelve-month prioritised roadmap recommendations</w:t>
      </w:r>
    </w:p>
    <w:p w14:paraId="220EA4AA" w14:textId="77777777" w:rsidR="00C56B92" w:rsidRDefault="00000000">
      <w:pPr>
        <w:pStyle w:val="Compact"/>
        <w:numPr>
          <w:ilvl w:val="0"/>
          <w:numId w:val="5"/>
        </w:numPr>
      </w:pPr>
      <w:r>
        <w:rPr>
          <w:b/>
          <w:bCs/>
        </w:rPr>
        <w:t>First quarter</w:t>
      </w:r>
      <w:r>
        <w:t xml:space="preserve">: ship 2–3 pilots above with strict governance; do not attempt end-to-end automation. Success criteria must be operational (touch-time reduction) and compliance (audit trail completeness). </w:t>
      </w:r>
      <w:hyperlink r:id="rId117">
        <w:r>
          <w:rPr>
            <w:rStyle w:val="Hyperlink"/>
          </w:rPr>
          <w:t>[87]</w:t>
        </w:r>
      </w:hyperlink>
    </w:p>
    <w:p w14:paraId="26CFC6EF" w14:textId="77777777" w:rsidR="00C56B92" w:rsidRDefault="00000000">
      <w:pPr>
        <w:pStyle w:val="Compact"/>
        <w:numPr>
          <w:ilvl w:val="0"/>
          <w:numId w:val="5"/>
        </w:numPr>
      </w:pPr>
      <w:r>
        <w:rPr>
          <w:b/>
          <w:bCs/>
        </w:rPr>
        <w:t>Second quarter</w:t>
      </w:r>
      <w:r>
        <w:t xml:space="preserve">: scale the winners into production patterns (shared RAG layer over policies/specs; shared provenance schema; shared monitoring). Abacus’ platform framing (ingestion → unified foundation → distribution) is suited to pattern reuse. </w:t>
      </w:r>
      <w:hyperlink r:id="rId118">
        <w:r>
          <w:rPr>
            <w:rStyle w:val="Hyperlink"/>
          </w:rPr>
          <w:t>[88]</w:t>
        </w:r>
      </w:hyperlink>
    </w:p>
    <w:p w14:paraId="0C0F79A5" w14:textId="77777777" w:rsidR="00C56B92" w:rsidRDefault="00000000">
      <w:pPr>
        <w:pStyle w:val="Compact"/>
        <w:numPr>
          <w:ilvl w:val="0"/>
          <w:numId w:val="5"/>
        </w:numPr>
      </w:pPr>
      <w:r>
        <w:rPr>
          <w:b/>
          <w:bCs/>
        </w:rPr>
        <w:lastRenderedPageBreak/>
        <w:t>Third quarter</w:t>
      </w:r>
      <w:r>
        <w:t xml:space="preserve">: expand “shift-left” capabilities in Payment Integrity (pre-pay routing and decision support) and industrialise year-round quality analytics for Stars/HEDIS (automated distribution to BI and AI tooling as Abacus already advertises). </w:t>
      </w:r>
      <w:hyperlink r:id="rId119">
        <w:r>
          <w:rPr>
            <w:rStyle w:val="Hyperlink"/>
          </w:rPr>
          <w:t>[89]</w:t>
        </w:r>
      </w:hyperlink>
    </w:p>
    <w:p w14:paraId="48BA78F8" w14:textId="77777777" w:rsidR="00C56B92" w:rsidRDefault="00000000">
      <w:pPr>
        <w:pStyle w:val="Compact"/>
        <w:numPr>
          <w:ilvl w:val="0"/>
          <w:numId w:val="5"/>
        </w:numPr>
      </w:pPr>
      <w:r>
        <w:rPr>
          <w:b/>
          <w:bCs/>
        </w:rPr>
        <w:t>Fourth quarter</w:t>
      </w:r>
      <w:r>
        <w:t xml:space="preserve">: implement enterprise controls: model risk management, bias testing, and automated documentation generation. This is where regulated domains (risk adjustment, interoperability) either scale safely or fail loudly. </w:t>
      </w:r>
      <w:hyperlink r:id="rId120">
        <w:r>
          <w:rPr>
            <w:rStyle w:val="Hyperlink"/>
          </w:rPr>
          <w:t>[90]</w:t>
        </w:r>
      </w:hyperlink>
    </w:p>
    <w:p w14:paraId="34BFAD9E" w14:textId="77777777" w:rsidR="00C56B92" w:rsidRDefault="00000000">
      <w:pPr>
        <w:pStyle w:val="FirstParagraph"/>
      </w:pPr>
      <w:r>
        <w:t xml:space="preserve">Hard constraint to bake into planning: CMS interoperability work has fixed compliance and reporting dates (Jan 1, 2026 reporting elements and March 31, 2026 initial metrics; Jan 1, 2027 API deadlines). Any AI work here should reduce engineering burden (testing/monitoring) without risking compliance. </w:t>
      </w:r>
      <w:hyperlink r:id="rId121">
        <w:r>
          <w:rPr>
            <w:rStyle w:val="Hyperlink"/>
          </w:rPr>
          <w:t>[91]</w:t>
        </w:r>
      </w:hyperlink>
    </w:p>
    <w:p w14:paraId="387452FA" w14:textId="77777777" w:rsidR="00C56B92" w:rsidRDefault="00000000">
      <w:pPr>
        <w:pStyle w:val="Heading2"/>
      </w:pPr>
      <w:bookmarkStart w:id="10" w:name="X863d64d8528c5b9f494c5acec9b82e43d030410"/>
      <w:bookmarkEnd w:id="7"/>
      <w:bookmarkEnd w:id="9"/>
      <w:r>
        <w:t>Ranking table, bar chart of gains, and top sources</w:t>
      </w:r>
    </w:p>
    <w:p w14:paraId="61A00CB9" w14:textId="77777777" w:rsidR="00C56B92" w:rsidRDefault="00000000">
      <w:pPr>
        <w:pStyle w:val="Heading3"/>
      </w:pPr>
      <w:bookmarkStart w:id="11" w:name="X529e35cbe3fda5100b45139b7f345eb43933c24"/>
      <w:r>
        <w:t>Comparison table ranking verticals by estimated AI automation efficiency gains</w:t>
      </w:r>
    </w:p>
    <w:tbl>
      <w:tblPr>
        <w:tblStyle w:val="Table"/>
        <w:tblW w:w="0" w:type="auto"/>
        <w:tblLook w:val="0020" w:firstRow="1" w:lastRow="0" w:firstColumn="0" w:lastColumn="0" w:noHBand="0" w:noVBand="0"/>
      </w:tblPr>
      <w:tblGrid>
        <w:gridCol w:w="1606"/>
        <w:gridCol w:w="1140"/>
        <w:gridCol w:w="1960"/>
        <w:gridCol w:w="1931"/>
        <w:gridCol w:w="1667"/>
        <w:gridCol w:w="1272"/>
      </w:tblGrid>
      <w:tr w:rsidR="00C56B92" w14:paraId="2068E093" w14:textId="77777777" w:rsidTr="00C56B92">
        <w:trPr>
          <w:cnfStyle w:val="100000000000" w:firstRow="1" w:lastRow="0" w:firstColumn="0" w:lastColumn="0" w:oddVBand="0" w:evenVBand="0" w:oddHBand="0" w:evenHBand="0" w:firstRowFirstColumn="0" w:firstRowLastColumn="0" w:lastRowFirstColumn="0" w:lastRowLastColumn="0"/>
          <w:tblHeader/>
        </w:trPr>
        <w:tc>
          <w:tcPr>
            <w:tcW w:w="0" w:type="auto"/>
          </w:tcPr>
          <w:p w14:paraId="5414EF1F" w14:textId="77777777" w:rsidR="00C56B92" w:rsidRDefault="00000000">
            <w:pPr>
              <w:pStyle w:val="Compact"/>
            </w:pPr>
            <w:r>
              <w:t>Vertical name</w:t>
            </w:r>
          </w:p>
        </w:tc>
        <w:tc>
          <w:tcPr>
            <w:tcW w:w="0" w:type="auto"/>
          </w:tcPr>
          <w:p w14:paraId="422650E7" w14:textId="77777777" w:rsidR="00C56B92" w:rsidRDefault="00000000">
            <w:pPr>
              <w:pStyle w:val="Compact"/>
              <w:jc w:val="right"/>
            </w:pPr>
            <w:r>
              <w:t>Estimated efficiency gain range</w:t>
            </w:r>
          </w:p>
        </w:tc>
        <w:tc>
          <w:tcPr>
            <w:tcW w:w="0" w:type="auto"/>
          </w:tcPr>
          <w:p w14:paraId="52FA832F" w14:textId="77777777" w:rsidR="00C56B92" w:rsidRDefault="00000000">
            <w:pPr>
              <w:pStyle w:val="Compact"/>
            </w:pPr>
            <w:r>
              <w:t>Main use cases</w:t>
            </w:r>
          </w:p>
        </w:tc>
        <w:tc>
          <w:tcPr>
            <w:tcW w:w="0" w:type="auto"/>
          </w:tcPr>
          <w:p w14:paraId="6F879709" w14:textId="77777777" w:rsidR="00C56B92" w:rsidRDefault="00000000">
            <w:pPr>
              <w:pStyle w:val="Compact"/>
            </w:pPr>
            <w:r>
              <w:t>Data needs</w:t>
            </w:r>
          </w:p>
        </w:tc>
        <w:tc>
          <w:tcPr>
            <w:tcW w:w="0" w:type="auto"/>
          </w:tcPr>
          <w:p w14:paraId="3FBA22DD" w14:textId="77777777" w:rsidR="00C56B92" w:rsidRDefault="00000000">
            <w:pPr>
              <w:pStyle w:val="Compact"/>
            </w:pPr>
            <w:r>
              <w:t>Implementation complexity</w:t>
            </w:r>
          </w:p>
        </w:tc>
        <w:tc>
          <w:tcPr>
            <w:tcW w:w="0" w:type="auto"/>
          </w:tcPr>
          <w:p w14:paraId="62D85605" w14:textId="77777777" w:rsidR="00C56B92" w:rsidRDefault="00000000">
            <w:pPr>
              <w:pStyle w:val="Compact"/>
              <w:jc w:val="right"/>
            </w:pPr>
            <w:r>
              <w:t>Confidence score</w:t>
            </w:r>
          </w:p>
        </w:tc>
      </w:tr>
      <w:tr w:rsidR="00C56B92" w14:paraId="7D601808" w14:textId="77777777">
        <w:tc>
          <w:tcPr>
            <w:tcW w:w="0" w:type="auto"/>
          </w:tcPr>
          <w:p w14:paraId="727C2A50" w14:textId="77777777" w:rsidR="00C56B92" w:rsidRDefault="00000000">
            <w:pPr>
              <w:pStyle w:val="Compact"/>
            </w:pPr>
            <w:r>
              <w:t>Payment Integrity</w:t>
            </w:r>
          </w:p>
        </w:tc>
        <w:tc>
          <w:tcPr>
            <w:tcW w:w="0" w:type="auto"/>
          </w:tcPr>
          <w:p w14:paraId="207020C5" w14:textId="77777777" w:rsidR="00C56B92" w:rsidRDefault="00000000">
            <w:pPr>
              <w:pStyle w:val="Compact"/>
              <w:jc w:val="right"/>
            </w:pPr>
            <w:r>
              <w:t>30–55%</w:t>
            </w:r>
          </w:p>
        </w:tc>
        <w:tc>
          <w:tcPr>
            <w:tcW w:w="0" w:type="auto"/>
          </w:tcPr>
          <w:p w14:paraId="08A5FA04" w14:textId="77777777" w:rsidR="00C56B92" w:rsidRDefault="00000000">
            <w:pPr>
              <w:pStyle w:val="Compact"/>
            </w:pPr>
            <w:r>
              <w:t>anomaly detection, triage automation, evidence packs, pre-pay shift-left routing</w:t>
            </w:r>
          </w:p>
        </w:tc>
        <w:tc>
          <w:tcPr>
            <w:tcW w:w="0" w:type="auto"/>
          </w:tcPr>
          <w:p w14:paraId="627513C3" w14:textId="77777777" w:rsidR="00C56B92" w:rsidRDefault="00000000">
            <w:pPr>
              <w:pStyle w:val="Compact"/>
            </w:pPr>
            <w:r>
              <w:t>claims + clinical + member + provider + vendor outputs</w:t>
            </w:r>
          </w:p>
        </w:tc>
        <w:tc>
          <w:tcPr>
            <w:tcW w:w="0" w:type="auto"/>
          </w:tcPr>
          <w:p w14:paraId="40841567" w14:textId="77777777" w:rsidR="00C56B92" w:rsidRDefault="00000000">
            <w:pPr>
              <w:pStyle w:val="Compact"/>
            </w:pPr>
            <w:r>
              <w:t>High</w:t>
            </w:r>
          </w:p>
        </w:tc>
        <w:tc>
          <w:tcPr>
            <w:tcW w:w="0" w:type="auto"/>
          </w:tcPr>
          <w:p w14:paraId="2635EA09" w14:textId="77777777" w:rsidR="00C56B92" w:rsidRDefault="00000000">
            <w:pPr>
              <w:pStyle w:val="Compact"/>
              <w:jc w:val="right"/>
            </w:pPr>
            <w:r>
              <w:t>75</w:t>
            </w:r>
          </w:p>
        </w:tc>
      </w:tr>
      <w:tr w:rsidR="00C56B92" w14:paraId="1976168B" w14:textId="77777777">
        <w:tc>
          <w:tcPr>
            <w:tcW w:w="0" w:type="auto"/>
          </w:tcPr>
          <w:p w14:paraId="6A86F705" w14:textId="77777777" w:rsidR="00C56B92" w:rsidRDefault="00000000">
            <w:pPr>
              <w:pStyle w:val="Compact"/>
            </w:pPr>
            <w:r>
              <w:t>HEDIS Accelerator</w:t>
            </w:r>
          </w:p>
        </w:tc>
        <w:tc>
          <w:tcPr>
            <w:tcW w:w="0" w:type="auto"/>
          </w:tcPr>
          <w:p w14:paraId="56BF6E48" w14:textId="77777777" w:rsidR="00C56B92" w:rsidRDefault="00000000">
            <w:pPr>
              <w:pStyle w:val="Compact"/>
              <w:jc w:val="right"/>
            </w:pPr>
            <w:r>
              <w:t>25–50%</w:t>
            </w:r>
          </w:p>
        </w:tc>
        <w:tc>
          <w:tcPr>
            <w:tcW w:w="0" w:type="auto"/>
          </w:tcPr>
          <w:p w14:paraId="08F6967A" w14:textId="77777777" w:rsidR="00C56B92" w:rsidRDefault="00000000">
            <w:pPr>
              <w:pStyle w:val="Compact"/>
            </w:pPr>
            <w:r>
              <w:t>automated mapping/config, NLP chart abstraction, year-round runs, audit automation</w:t>
            </w:r>
          </w:p>
        </w:tc>
        <w:tc>
          <w:tcPr>
            <w:tcW w:w="0" w:type="auto"/>
          </w:tcPr>
          <w:p w14:paraId="76F78362" w14:textId="77777777" w:rsidR="00C56B92" w:rsidRDefault="00000000">
            <w:pPr>
              <w:pStyle w:val="Compact"/>
            </w:pPr>
            <w:r>
              <w:t>claims + clinical feeds + vendor specs + measure artefacts</w:t>
            </w:r>
          </w:p>
        </w:tc>
        <w:tc>
          <w:tcPr>
            <w:tcW w:w="0" w:type="auto"/>
          </w:tcPr>
          <w:p w14:paraId="1078483B" w14:textId="77777777" w:rsidR="00C56B92" w:rsidRDefault="00000000">
            <w:pPr>
              <w:pStyle w:val="Compact"/>
            </w:pPr>
            <w:r>
              <w:t>Medium–High</w:t>
            </w:r>
          </w:p>
        </w:tc>
        <w:tc>
          <w:tcPr>
            <w:tcW w:w="0" w:type="auto"/>
          </w:tcPr>
          <w:p w14:paraId="7177BC0C" w14:textId="77777777" w:rsidR="00C56B92" w:rsidRDefault="00000000">
            <w:pPr>
              <w:pStyle w:val="Compact"/>
              <w:jc w:val="right"/>
            </w:pPr>
            <w:r>
              <w:t>70</w:t>
            </w:r>
          </w:p>
        </w:tc>
      </w:tr>
      <w:tr w:rsidR="00C56B92" w14:paraId="4F8D644B" w14:textId="77777777">
        <w:tc>
          <w:tcPr>
            <w:tcW w:w="0" w:type="auto"/>
          </w:tcPr>
          <w:p w14:paraId="624B8179" w14:textId="77777777" w:rsidR="00C56B92" w:rsidRDefault="00000000">
            <w:pPr>
              <w:pStyle w:val="Compact"/>
            </w:pPr>
            <w:r>
              <w:t>Risk Adjustment</w:t>
            </w:r>
          </w:p>
        </w:tc>
        <w:tc>
          <w:tcPr>
            <w:tcW w:w="0" w:type="auto"/>
          </w:tcPr>
          <w:p w14:paraId="05B2FAE4" w14:textId="77777777" w:rsidR="00C56B92" w:rsidRDefault="00000000">
            <w:pPr>
              <w:pStyle w:val="Compact"/>
              <w:jc w:val="right"/>
            </w:pPr>
            <w:r>
              <w:t>25–45%</w:t>
            </w:r>
          </w:p>
        </w:tc>
        <w:tc>
          <w:tcPr>
            <w:tcW w:w="0" w:type="auto"/>
          </w:tcPr>
          <w:p w14:paraId="3E4FC0F0" w14:textId="77777777" w:rsidR="00C56B92" w:rsidRDefault="00000000">
            <w:pPr>
              <w:pStyle w:val="Compact"/>
            </w:pPr>
            <w:r>
              <w:t>NLP evidence extraction, coder copilots, audit-ready substantiation</w:t>
            </w:r>
          </w:p>
        </w:tc>
        <w:tc>
          <w:tcPr>
            <w:tcW w:w="0" w:type="auto"/>
          </w:tcPr>
          <w:p w14:paraId="14A9954D" w14:textId="77777777" w:rsidR="00C56B92" w:rsidRDefault="00000000">
            <w:pPr>
              <w:pStyle w:val="Compact"/>
            </w:pPr>
            <w:r>
              <w:t>claims + eligibility + EMR/docs + vendor slices</w:t>
            </w:r>
          </w:p>
        </w:tc>
        <w:tc>
          <w:tcPr>
            <w:tcW w:w="0" w:type="auto"/>
          </w:tcPr>
          <w:p w14:paraId="48D163D8" w14:textId="77777777" w:rsidR="00C56B92" w:rsidRDefault="00000000">
            <w:pPr>
              <w:pStyle w:val="Compact"/>
            </w:pPr>
            <w:r>
              <w:t>High</w:t>
            </w:r>
          </w:p>
        </w:tc>
        <w:tc>
          <w:tcPr>
            <w:tcW w:w="0" w:type="auto"/>
          </w:tcPr>
          <w:p w14:paraId="23F02A24" w14:textId="77777777" w:rsidR="00C56B92" w:rsidRDefault="00000000">
            <w:pPr>
              <w:pStyle w:val="Compact"/>
              <w:jc w:val="right"/>
            </w:pPr>
            <w:r>
              <w:t>65</w:t>
            </w:r>
          </w:p>
        </w:tc>
      </w:tr>
      <w:tr w:rsidR="00C56B92" w14:paraId="2C5D64A2" w14:textId="77777777">
        <w:tc>
          <w:tcPr>
            <w:tcW w:w="0" w:type="auto"/>
          </w:tcPr>
          <w:p w14:paraId="7E4D7A71" w14:textId="77777777" w:rsidR="00C56B92" w:rsidRDefault="00000000">
            <w:pPr>
              <w:pStyle w:val="Compact"/>
            </w:pPr>
            <w:r>
              <w:t xml:space="preserve">Data Transformation Platform &amp; Managed </w:t>
            </w:r>
            <w:r>
              <w:lastRenderedPageBreak/>
              <w:t>Data Ops</w:t>
            </w:r>
          </w:p>
        </w:tc>
        <w:tc>
          <w:tcPr>
            <w:tcW w:w="0" w:type="auto"/>
          </w:tcPr>
          <w:p w14:paraId="7D5F4226" w14:textId="77777777" w:rsidR="00C56B92" w:rsidRDefault="00000000">
            <w:pPr>
              <w:pStyle w:val="Compact"/>
              <w:jc w:val="right"/>
            </w:pPr>
            <w:r>
              <w:lastRenderedPageBreak/>
              <w:t>20–40%</w:t>
            </w:r>
          </w:p>
        </w:tc>
        <w:tc>
          <w:tcPr>
            <w:tcW w:w="0" w:type="auto"/>
          </w:tcPr>
          <w:p w14:paraId="4A79AACF" w14:textId="77777777" w:rsidR="00C56B92" w:rsidRDefault="00000000">
            <w:pPr>
              <w:pStyle w:val="Compact"/>
            </w:pPr>
            <w:r>
              <w:t xml:space="preserve">schema mapping copilot, data quality </w:t>
            </w:r>
            <w:r>
              <w:lastRenderedPageBreak/>
              <w:t>automation, entity resolution, pipeline ops copilots</w:t>
            </w:r>
          </w:p>
        </w:tc>
        <w:tc>
          <w:tcPr>
            <w:tcW w:w="0" w:type="auto"/>
          </w:tcPr>
          <w:p w14:paraId="389A9C8B" w14:textId="77777777" w:rsidR="00C56B92" w:rsidRDefault="00000000">
            <w:pPr>
              <w:pStyle w:val="Compact"/>
            </w:pPr>
            <w:r>
              <w:lastRenderedPageBreak/>
              <w:t xml:space="preserve">multi-source ingestion + lineage + reference </w:t>
            </w:r>
            <w:r>
              <w:lastRenderedPageBreak/>
              <w:t>datasets</w:t>
            </w:r>
          </w:p>
        </w:tc>
        <w:tc>
          <w:tcPr>
            <w:tcW w:w="0" w:type="auto"/>
          </w:tcPr>
          <w:p w14:paraId="1E745611" w14:textId="77777777" w:rsidR="00C56B92" w:rsidRDefault="00000000">
            <w:pPr>
              <w:pStyle w:val="Compact"/>
            </w:pPr>
            <w:r>
              <w:lastRenderedPageBreak/>
              <w:t>High</w:t>
            </w:r>
          </w:p>
        </w:tc>
        <w:tc>
          <w:tcPr>
            <w:tcW w:w="0" w:type="auto"/>
          </w:tcPr>
          <w:p w14:paraId="70168E48" w14:textId="77777777" w:rsidR="00C56B92" w:rsidRDefault="00000000">
            <w:pPr>
              <w:pStyle w:val="Compact"/>
              <w:jc w:val="right"/>
            </w:pPr>
            <w:r>
              <w:t>60</w:t>
            </w:r>
          </w:p>
        </w:tc>
      </w:tr>
      <w:tr w:rsidR="00C56B92" w14:paraId="6ED2F991" w14:textId="77777777">
        <w:tc>
          <w:tcPr>
            <w:tcW w:w="0" w:type="auto"/>
          </w:tcPr>
          <w:p w14:paraId="15EA53BA" w14:textId="77777777" w:rsidR="00C56B92" w:rsidRDefault="00000000">
            <w:pPr>
              <w:pStyle w:val="Compact"/>
            </w:pPr>
            <w:r>
              <w:t>Clinical Data Solution</w:t>
            </w:r>
          </w:p>
        </w:tc>
        <w:tc>
          <w:tcPr>
            <w:tcW w:w="0" w:type="auto"/>
          </w:tcPr>
          <w:p w14:paraId="599AB4E0" w14:textId="77777777" w:rsidR="00C56B92" w:rsidRDefault="00000000">
            <w:pPr>
              <w:pStyle w:val="Compact"/>
              <w:jc w:val="right"/>
            </w:pPr>
            <w:r>
              <w:t>15–35%</w:t>
            </w:r>
          </w:p>
        </w:tc>
        <w:tc>
          <w:tcPr>
            <w:tcW w:w="0" w:type="auto"/>
          </w:tcPr>
          <w:p w14:paraId="1F19D8F5" w14:textId="77777777" w:rsidR="00C56B92" w:rsidRDefault="00000000">
            <w:pPr>
              <w:pStyle w:val="Compact"/>
            </w:pPr>
            <w:r>
              <w:t>clinical abstraction, longitudinal summarisation, care-gap signal extraction</w:t>
            </w:r>
          </w:p>
        </w:tc>
        <w:tc>
          <w:tcPr>
            <w:tcW w:w="0" w:type="auto"/>
          </w:tcPr>
          <w:p w14:paraId="3DA4F1D7" w14:textId="77777777" w:rsidR="00C56B92" w:rsidRDefault="00000000">
            <w:pPr>
              <w:pStyle w:val="Compact"/>
            </w:pPr>
            <w:r>
              <w:t>HIE/EMR feeds + unstructured clinical docs + claims</w:t>
            </w:r>
          </w:p>
        </w:tc>
        <w:tc>
          <w:tcPr>
            <w:tcW w:w="0" w:type="auto"/>
          </w:tcPr>
          <w:p w14:paraId="7BDE9FD7" w14:textId="77777777" w:rsidR="00C56B92" w:rsidRDefault="00000000">
            <w:pPr>
              <w:pStyle w:val="Compact"/>
            </w:pPr>
            <w:r>
              <w:t>High</w:t>
            </w:r>
          </w:p>
        </w:tc>
        <w:tc>
          <w:tcPr>
            <w:tcW w:w="0" w:type="auto"/>
          </w:tcPr>
          <w:p w14:paraId="26A6FA09" w14:textId="77777777" w:rsidR="00C56B92" w:rsidRDefault="00000000">
            <w:pPr>
              <w:pStyle w:val="Compact"/>
              <w:jc w:val="right"/>
            </w:pPr>
            <w:r>
              <w:t>55</w:t>
            </w:r>
          </w:p>
        </w:tc>
      </w:tr>
      <w:tr w:rsidR="00C56B92" w14:paraId="7265369E" w14:textId="77777777">
        <w:tc>
          <w:tcPr>
            <w:tcW w:w="0" w:type="auto"/>
          </w:tcPr>
          <w:p w14:paraId="2EBD28C3" w14:textId="77777777" w:rsidR="00C56B92" w:rsidRDefault="00000000">
            <w:pPr>
              <w:pStyle w:val="Compact"/>
            </w:pPr>
            <w:r>
              <w:t>Stars Performance</w:t>
            </w:r>
          </w:p>
        </w:tc>
        <w:tc>
          <w:tcPr>
            <w:tcW w:w="0" w:type="auto"/>
          </w:tcPr>
          <w:p w14:paraId="29D188B3" w14:textId="77777777" w:rsidR="00C56B92" w:rsidRDefault="00000000">
            <w:pPr>
              <w:pStyle w:val="Compact"/>
              <w:jc w:val="right"/>
            </w:pPr>
            <w:r>
              <w:t>12–28%</w:t>
            </w:r>
          </w:p>
        </w:tc>
        <w:tc>
          <w:tcPr>
            <w:tcW w:w="0" w:type="auto"/>
          </w:tcPr>
          <w:p w14:paraId="6675F5EB" w14:textId="77777777" w:rsidR="00C56B92" w:rsidRDefault="00000000">
            <w:pPr>
              <w:pStyle w:val="Compact"/>
            </w:pPr>
            <w:r>
              <w:t>forecasting, segmentation, insight narrative generation, automated distribution</w:t>
            </w:r>
          </w:p>
        </w:tc>
        <w:tc>
          <w:tcPr>
            <w:tcW w:w="0" w:type="auto"/>
          </w:tcPr>
          <w:p w14:paraId="56682FBB" w14:textId="77777777" w:rsidR="00C56B92" w:rsidRDefault="00000000">
            <w:pPr>
              <w:pStyle w:val="Compact"/>
            </w:pPr>
            <w:r>
              <w:t>measures + pharmacy adherence + survey outputs + contract aggregates</w:t>
            </w:r>
          </w:p>
        </w:tc>
        <w:tc>
          <w:tcPr>
            <w:tcW w:w="0" w:type="auto"/>
          </w:tcPr>
          <w:p w14:paraId="75FC0055" w14:textId="77777777" w:rsidR="00C56B92" w:rsidRDefault="00000000">
            <w:pPr>
              <w:pStyle w:val="Compact"/>
            </w:pPr>
            <w:r>
              <w:t>Medium</w:t>
            </w:r>
          </w:p>
        </w:tc>
        <w:tc>
          <w:tcPr>
            <w:tcW w:w="0" w:type="auto"/>
          </w:tcPr>
          <w:p w14:paraId="5FA5B031" w14:textId="77777777" w:rsidR="00C56B92" w:rsidRDefault="00000000">
            <w:pPr>
              <w:pStyle w:val="Compact"/>
              <w:jc w:val="right"/>
            </w:pPr>
            <w:r>
              <w:t>55</w:t>
            </w:r>
          </w:p>
        </w:tc>
      </w:tr>
      <w:tr w:rsidR="00C56B92" w14:paraId="20C2AE55" w14:textId="77777777">
        <w:tc>
          <w:tcPr>
            <w:tcW w:w="0" w:type="auto"/>
          </w:tcPr>
          <w:p w14:paraId="2FED3E0A" w14:textId="77777777" w:rsidR="00C56B92" w:rsidRDefault="00000000">
            <w:pPr>
              <w:pStyle w:val="Compact"/>
            </w:pPr>
            <w:r>
              <w:t>CMS Interoperability</w:t>
            </w:r>
          </w:p>
        </w:tc>
        <w:tc>
          <w:tcPr>
            <w:tcW w:w="0" w:type="auto"/>
          </w:tcPr>
          <w:p w14:paraId="3B71DC07" w14:textId="77777777" w:rsidR="00C56B92" w:rsidRDefault="00000000">
            <w:pPr>
              <w:pStyle w:val="Compact"/>
              <w:jc w:val="right"/>
            </w:pPr>
            <w:r>
              <w:t>10–25%</w:t>
            </w:r>
          </w:p>
        </w:tc>
        <w:tc>
          <w:tcPr>
            <w:tcW w:w="0" w:type="auto"/>
          </w:tcPr>
          <w:p w14:paraId="1A12BC95" w14:textId="77777777" w:rsidR="00C56B92" w:rsidRDefault="00000000">
            <w:pPr>
              <w:pStyle w:val="Compact"/>
            </w:pPr>
            <w:r>
              <w:t>FHIR mapping assistance, conformance testing automation, monitoring/metrics automation</w:t>
            </w:r>
          </w:p>
        </w:tc>
        <w:tc>
          <w:tcPr>
            <w:tcW w:w="0" w:type="auto"/>
          </w:tcPr>
          <w:p w14:paraId="5BD950E8" w14:textId="77777777" w:rsidR="00C56B92" w:rsidRDefault="00000000">
            <w:pPr>
              <w:pStyle w:val="Compact"/>
            </w:pPr>
            <w:r>
              <w:t>USCDI + claims/encounters + prior auth status + consent</w:t>
            </w:r>
          </w:p>
        </w:tc>
        <w:tc>
          <w:tcPr>
            <w:tcW w:w="0" w:type="auto"/>
          </w:tcPr>
          <w:p w14:paraId="3B01B7A3" w14:textId="77777777" w:rsidR="00C56B92" w:rsidRDefault="00000000">
            <w:pPr>
              <w:pStyle w:val="Compact"/>
            </w:pPr>
            <w:r>
              <w:t>High</w:t>
            </w:r>
          </w:p>
        </w:tc>
        <w:tc>
          <w:tcPr>
            <w:tcW w:w="0" w:type="auto"/>
          </w:tcPr>
          <w:p w14:paraId="4BEEBC82" w14:textId="77777777" w:rsidR="00C56B92" w:rsidRDefault="00000000">
            <w:pPr>
              <w:pStyle w:val="Compact"/>
              <w:jc w:val="right"/>
            </w:pPr>
            <w:r>
              <w:t>60</w:t>
            </w:r>
          </w:p>
        </w:tc>
      </w:tr>
      <w:tr w:rsidR="00C56B92" w14:paraId="443E8278" w14:textId="77777777">
        <w:tc>
          <w:tcPr>
            <w:tcW w:w="0" w:type="auto"/>
          </w:tcPr>
          <w:p w14:paraId="67A6A3F4" w14:textId="77777777" w:rsidR="00C56B92" w:rsidRDefault="00000000">
            <w:pPr>
              <w:pStyle w:val="Compact"/>
            </w:pPr>
            <w:r>
              <w:t>Cost of Care Management</w:t>
            </w:r>
          </w:p>
        </w:tc>
        <w:tc>
          <w:tcPr>
            <w:tcW w:w="0" w:type="auto"/>
          </w:tcPr>
          <w:p w14:paraId="7EECC6DE" w14:textId="77777777" w:rsidR="00C56B92" w:rsidRDefault="00000000">
            <w:pPr>
              <w:pStyle w:val="Compact"/>
              <w:jc w:val="right"/>
            </w:pPr>
            <w:r>
              <w:t>10–20%</w:t>
            </w:r>
          </w:p>
        </w:tc>
        <w:tc>
          <w:tcPr>
            <w:tcW w:w="0" w:type="auto"/>
          </w:tcPr>
          <w:p w14:paraId="5C961CD2" w14:textId="77777777" w:rsidR="00C56B92" w:rsidRDefault="00000000">
            <w:pPr>
              <w:pStyle w:val="Compact"/>
            </w:pPr>
            <w:r>
              <w:t>forecasting, anomaly detection, cost-driver explainers</w:t>
            </w:r>
          </w:p>
        </w:tc>
        <w:tc>
          <w:tcPr>
            <w:tcW w:w="0" w:type="auto"/>
          </w:tcPr>
          <w:p w14:paraId="05DC8CF8" w14:textId="77777777" w:rsidR="00C56B92" w:rsidRDefault="00000000">
            <w:pPr>
              <w:pStyle w:val="Compact"/>
            </w:pPr>
            <w:r>
              <w:t>in-flight + paid claims + utilisation + contracting metadata</w:t>
            </w:r>
          </w:p>
        </w:tc>
        <w:tc>
          <w:tcPr>
            <w:tcW w:w="0" w:type="auto"/>
          </w:tcPr>
          <w:p w14:paraId="7918B00D" w14:textId="77777777" w:rsidR="00C56B92" w:rsidRDefault="00000000">
            <w:pPr>
              <w:pStyle w:val="Compact"/>
            </w:pPr>
            <w:r>
              <w:t>Medium</w:t>
            </w:r>
          </w:p>
        </w:tc>
        <w:tc>
          <w:tcPr>
            <w:tcW w:w="0" w:type="auto"/>
          </w:tcPr>
          <w:p w14:paraId="4326D823" w14:textId="77777777" w:rsidR="00C56B92" w:rsidRDefault="00000000">
            <w:pPr>
              <w:pStyle w:val="Compact"/>
              <w:jc w:val="right"/>
            </w:pPr>
            <w:r>
              <w:t>50</w:t>
            </w:r>
          </w:p>
        </w:tc>
      </w:tr>
    </w:tbl>
    <w:p w14:paraId="2D200193" w14:textId="77777777" w:rsidR="00C56B92" w:rsidRDefault="00000000">
      <w:pPr>
        <w:pStyle w:val="Heading3"/>
      </w:pPr>
      <w:bookmarkStart w:id="12" w:name="Xd8974d2da2ac3d3e6aa657ef9f9d79a50a8e527"/>
      <w:bookmarkEnd w:id="11"/>
      <w:r>
        <w:t>Bar chart visual of the ranked efficiency gain estimates</w:t>
      </w:r>
    </w:p>
    <w:p w14:paraId="3FE91EEC" w14:textId="77777777" w:rsidR="00C56B92" w:rsidRDefault="00000000">
      <w:pPr>
        <w:pStyle w:val="FirstParagraph"/>
      </w:pPr>
      <w:r>
        <w:t>Estimated AI-driven automation efficiency gains by Abacus Insights vertical (midpoint with range)</w:t>
      </w:r>
      <w:r>
        <w:br/>
      </w:r>
    </w:p>
    <w:p w14:paraId="6D541840" w14:textId="77777777" w:rsidR="00C56B92" w:rsidRDefault="00000000">
      <w:pPr>
        <w:pStyle w:val="Heading3"/>
      </w:pPr>
      <w:bookmarkStart w:id="13" w:name="top-sources-consulted"/>
      <w:bookmarkEnd w:id="12"/>
      <w:r>
        <w:lastRenderedPageBreak/>
        <w:t>Top sources consulted</w:t>
      </w:r>
    </w:p>
    <w:p w14:paraId="4E334B41" w14:textId="77777777" w:rsidR="00C56B92" w:rsidRDefault="00000000">
      <w:pPr>
        <w:pStyle w:val="Compact"/>
        <w:numPr>
          <w:ilvl w:val="0"/>
          <w:numId w:val="6"/>
        </w:numPr>
      </w:pPr>
      <w:r>
        <w:t xml:space="preserve">Abacus Insights “Solutions” list and solution pages (vertical identification and stated workflow pain points). </w:t>
      </w:r>
      <w:hyperlink r:id="rId122">
        <w:r>
          <w:rPr>
            <w:rStyle w:val="Hyperlink"/>
          </w:rPr>
          <w:t>[92]</w:t>
        </w:r>
      </w:hyperlink>
    </w:p>
    <w:p w14:paraId="20DAEE22" w14:textId="77777777" w:rsidR="00C56B92" w:rsidRDefault="00000000">
      <w:pPr>
        <w:pStyle w:val="Compact"/>
        <w:numPr>
          <w:ilvl w:val="0"/>
          <w:numId w:val="6"/>
        </w:numPr>
      </w:pPr>
      <w:r>
        <w:t xml:space="preserve">Abacus Insights platform overview and CMS interoperability product sheet (architecture + scale claims such as connectors and standard data models). </w:t>
      </w:r>
      <w:hyperlink r:id="rId123">
        <w:r>
          <w:rPr>
            <w:rStyle w:val="Hyperlink"/>
          </w:rPr>
          <w:t>[93]</w:t>
        </w:r>
      </w:hyperlink>
    </w:p>
    <w:p w14:paraId="09EE48F3" w14:textId="77777777" w:rsidR="00C56B92" w:rsidRDefault="00000000">
      <w:pPr>
        <w:pStyle w:val="Compact"/>
        <w:numPr>
          <w:ilvl w:val="0"/>
          <w:numId w:val="6"/>
        </w:numPr>
      </w:pPr>
      <w:r>
        <w:t xml:space="preserve">CMS fact sheet for CMS-0057-F (compliance dates, metrics reporting, and API requirements). </w:t>
      </w:r>
      <w:hyperlink r:id="rId124">
        <w:r>
          <w:rPr>
            <w:rStyle w:val="Hyperlink"/>
          </w:rPr>
          <w:t>[72]</w:t>
        </w:r>
      </w:hyperlink>
    </w:p>
    <w:p w14:paraId="15714768" w14:textId="77777777" w:rsidR="00C56B92" w:rsidRDefault="00000000">
      <w:pPr>
        <w:pStyle w:val="Compact"/>
        <w:numPr>
          <w:ilvl w:val="0"/>
          <w:numId w:val="6"/>
        </w:numPr>
      </w:pPr>
      <w:r>
        <w:t xml:space="preserve">CMS improper payments and GAO commentary (scale/urgency for payment integrity). </w:t>
      </w:r>
      <w:hyperlink r:id="rId125">
        <w:r>
          <w:rPr>
            <w:rStyle w:val="Hyperlink"/>
          </w:rPr>
          <w:t>[94]</w:t>
        </w:r>
      </w:hyperlink>
    </w:p>
    <w:p w14:paraId="35CD0BF1" w14:textId="77777777" w:rsidR="00C56B92" w:rsidRDefault="00000000">
      <w:pPr>
        <w:pStyle w:val="Compact"/>
        <w:numPr>
          <w:ilvl w:val="0"/>
          <w:numId w:val="6"/>
        </w:numPr>
      </w:pPr>
      <w:r>
        <w:t xml:space="preserve">NCQA digital quality transition material (phasing out hybrid reporting to reduce manual medical record review; HEDIS scale). </w:t>
      </w:r>
      <w:hyperlink r:id="rId126">
        <w:r>
          <w:rPr>
            <w:rStyle w:val="Hyperlink"/>
          </w:rPr>
          <w:t>[95]</w:t>
        </w:r>
      </w:hyperlink>
    </w:p>
    <w:p w14:paraId="164FE802" w14:textId="77777777" w:rsidR="00C56B92" w:rsidRDefault="00000000">
      <w:pPr>
        <w:pStyle w:val="Compact"/>
        <w:numPr>
          <w:ilvl w:val="0"/>
          <w:numId w:val="6"/>
        </w:numPr>
      </w:pPr>
      <w:r>
        <w:t xml:space="preserve">CMS/Urban Institute material for Star Ratings payment incentives (5% benchmark increase for 4+ stars; policy sensitivity). </w:t>
      </w:r>
      <w:hyperlink r:id="rId127">
        <w:r>
          <w:rPr>
            <w:rStyle w:val="Hyperlink"/>
          </w:rPr>
          <w:t>[96]</w:t>
        </w:r>
      </w:hyperlink>
    </w:p>
    <w:p w14:paraId="128444D5" w14:textId="77777777" w:rsidR="00C56B92" w:rsidRDefault="00000000">
      <w:pPr>
        <w:pStyle w:val="Compact"/>
        <w:numPr>
          <w:ilvl w:val="0"/>
          <w:numId w:val="6"/>
        </w:numPr>
      </w:pPr>
      <w:r>
        <w:t xml:space="preserve">Peer-reviewed/academic evidence (ML for claims fraud detection synthesis; NLP-assisted chart review time reduction). </w:t>
      </w:r>
      <w:hyperlink r:id="rId128">
        <w:r>
          <w:rPr>
            <w:rStyle w:val="Hyperlink"/>
          </w:rPr>
          <w:t>[97]</w:t>
        </w:r>
      </w:hyperlink>
    </w:p>
    <w:p w14:paraId="77516A61" w14:textId="77777777" w:rsidR="00C56B92" w:rsidRDefault="00000000">
      <w:pPr>
        <w:pStyle w:val="Compact"/>
        <w:numPr>
          <w:ilvl w:val="0"/>
          <w:numId w:val="6"/>
        </w:numPr>
      </w:pPr>
      <w:r>
        <w:t xml:space="preserve">Abacus ecosystem and real-world deployments/partnerships (cloud stack and operational automation references; payer administration ecosystem integration). </w:t>
      </w:r>
      <w:hyperlink r:id="rId129">
        <w:r>
          <w:rPr>
            <w:rStyle w:val="Hyperlink"/>
          </w:rPr>
          <w:t>[98]</w:t>
        </w:r>
      </w:hyperlink>
    </w:p>
    <w:bookmarkEnd w:id="1"/>
    <w:bookmarkEnd w:id="2"/>
    <w:bookmarkEnd w:id="10"/>
    <w:bookmarkEnd w:id="13"/>
    <w:p w14:paraId="096B04A0" w14:textId="77777777" w:rsidR="00C56B92" w:rsidRDefault="004A5D05">
      <w:r>
        <w:rPr>
          <w:noProof/>
        </w:rPr>
      </w:r>
      <w:r>
        <w:pict w14:anchorId="5ADC43B8">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bookmarkStart w:id="14" w:name="citations"/>
    <w:p w14:paraId="699D2B7D" w14:textId="77777777" w:rsidR="00C56B92" w:rsidRDefault="00000000">
      <w:pPr>
        <w:pStyle w:val="FirstParagraph"/>
      </w:pPr>
      <w:r>
        <w:fldChar w:fldCharType="begin"/>
      </w:r>
      <w:r>
        <w:instrText>HYPERLINK "https://abacusinsights.com/solutions/" \h</w:instrText>
      </w:r>
      <w:r>
        <w:fldChar w:fldCharType="separate"/>
      </w:r>
      <w:r>
        <w:rPr>
          <w:rStyle w:val="Hyperlink"/>
        </w:rPr>
        <w:t>[1]</w:t>
      </w:r>
      <w:r>
        <w:fldChar w:fldCharType="end"/>
      </w:r>
      <w:r>
        <w:t xml:space="preserve"> </w:t>
      </w:r>
      <w:hyperlink r:id="rId130">
        <w:r>
          <w:rPr>
            <w:rStyle w:val="Hyperlink"/>
          </w:rPr>
          <w:t>[4]</w:t>
        </w:r>
      </w:hyperlink>
      <w:r>
        <w:t xml:space="preserve"> </w:t>
      </w:r>
      <w:hyperlink r:id="rId131">
        <w:r>
          <w:rPr>
            <w:rStyle w:val="Hyperlink"/>
          </w:rPr>
          <w:t>[14]</w:t>
        </w:r>
      </w:hyperlink>
      <w:r>
        <w:t xml:space="preserve"> </w:t>
      </w:r>
      <w:hyperlink r:id="rId132">
        <w:r>
          <w:rPr>
            <w:rStyle w:val="Hyperlink"/>
          </w:rPr>
          <w:t>[24]</w:t>
        </w:r>
      </w:hyperlink>
      <w:r>
        <w:t xml:space="preserve"> </w:t>
      </w:r>
      <w:hyperlink r:id="rId133">
        <w:r>
          <w:rPr>
            <w:rStyle w:val="Hyperlink"/>
          </w:rPr>
          <w:t>[92]</w:t>
        </w:r>
      </w:hyperlink>
      <w:r>
        <w:t xml:space="preserve"> https://abacusinsights.com/solutions/</w:t>
      </w:r>
    </w:p>
    <w:p w14:paraId="4D9A518C" w14:textId="77777777" w:rsidR="00C56B92" w:rsidRDefault="00000000">
      <w:pPr>
        <w:pStyle w:val="BodyText"/>
      </w:pPr>
      <w:hyperlink r:id="rId134">
        <w:r>
          <w:rPr>
            <w:rStyle w:val="Hyperlink"/>
          </w:rPr>
          <w:t>https://abacusinsights.com/solutions/</w:t>
        </w:r>
      </w:hyperlink>
    </w:p>
    <w:p w14:paraId="34373A5B" w14:textId="77777777" w:rsidR="00C56B92" w:rsidRDefault="00000000">
      <w:pPr>
        <w:pStyle w:val="BodyText"/>
      </w:pPr>
      <w:hyperlink r:id="rId135">
        <w:r>
          <w:rPr>
            <w:rStyle w:val="Hyperlink"/>
          </w:rPr>
          <w:t>[2]</w:t>
        </w:r>
      </w:hyperlink>
      <w:r>
        <w:t xml:space="preserve"> </w:t>
      </w:r>
      <w:hyperlink r:id="rId136">
        <w:r>
          <w:rPr>
            <w:rStyle w:val="Hyperlink"/>
          </w:rPr>
          <w:t>[5]</w:t>
        </w:r>
      </w:hyperlink>
      <w:r>
        <w:t xml:space="preserve"> </w:t>
      </w:r>
      <w:hyperlink r:id="rId137">
        <w:r>
          <w:rPr>
            <w:rStyle w:val="Hyperlink"/>
          </w:rPr>
          <w:t>[13]</w:t>
        </w:r>
      </w:hyperlink>
      <w:r>
        <w:t xml:space="preserve"> </w:t>
      </w:r>
      <w:hyperlink r:id="rId138">
        <w:r>
          <w:rPr>
            <w:rStyle w:val="Hyperlink"/>
          </w:rPr>
          <w:t>[16]</w:t>
        </w:r>
      </w:hyperlink>
      <w:r>
        <w:t xml:space="preserve"> </w:t>
      </w:r>
      <w:hyperlink r:id="rId139">
        <w:r>
          <w:rPr>
            <w:rStyle w:val="Hyperlink"/>
          </w:rPr>
          <w:t>[25]</w:t>
        </w:r>
      </w:hyperlink>
      <w:r>
        <w:t xml:space="preserve"> </w:t>
      </w:r>
      <w:hyperlink r:id="rId140">
        <w:r>
          <w:rPr>
            <w:rStyle w:val="Hyperlink"/>
          </w:rPr>
          <w:t>[26]</w:t>
        </w:r>
      </w:hyperlink>
      <w:r>
        <w:t xml:space="preserve"> </w:t>
      </w:r>
      <w:hyperlink r:id="rId141">
        <w:r>
          <w:rPr>
            <w:rStyle w:val="Hyperlink"/>
          </w:rPr>
          <w:t>[27]</w:t>
        </w:r>
      </w:hyperlink>
      <w:r>
        <w:t xml:space="preserve"> </w:t>
      </w:r>
      <w:hyperlink r:id="rId142">
        <w:r>
          <w:rPr>
            <w:rStyle w:val="Hyperlink"/>
          </w:rPr>
          <w:t>[36]</w:t>
        </w:r>
      </w:hyperlink>
      <w:r>
        <w:t xml:space="preserve"> </w:t>
      </w:r>
      <w:hyperlink r:id="rId143">
        <w:r>
          <w:rPr>
            <w:rStyle w:val="Hyperlink"/>
          </w:rPr>
          <w:t>[38]</w:t>
        </w:r>
      </w:hyperlink>
      <w:r>
        <w:t xml:space="preserve"> </w:t>
      </w:r>
      <w:hyperlink r:id="rId144">
        <w:r>
          <w:rPr>
            <w:rStyle w:val="Hyperlink"/>
          </w:rPr>
          <w:t>[40]</w:t>
        </w:r>
      </w:hyperlink>
      <w:r>
        <w:t xml:space="preserve"> </w:t>
      </w:r>
      <w:hyperlink r:id="rId145">
        <w:r>
          <w:rPr>
            <w:rStyle w:val="Hyperlink"/>
          </w:rPr>
          <w:t>[58]</w:t>
        </w:r>
      </w:hyperlink>
      <w:r>
        <w:t xml:space="preserve"> </w:t>
      </w:r>
      <w:hyperlink r:id="rId146">
        <w:r>
          <w:rPr>
            <w:rStyle w:val="Hyperlink"/>
          </w:rPr>
          <w:t>[82]</w:t>
        </w:r>
      </w:hyperlink>
      <w:r>
        <w:t xml:space="preserve"> </w:t>
      </w:r>
      <w:hyperlink r:id="rId147">
        <w:r>
          <w:rPr>
            <w:rStyle w:val="Hyperlink"/>
          </w:rPr>
          <w:t>[83]</w:t>
        </w:r>
      </w:hyperlink>
      <w:r>
        <w:t xml:space="preserve"> </w:t>
      </w:r>
      <w:hyperlink r:id="rId148">
        <w:r>
          <w:rPr>
            <w:rStyle w:val="Hyperlink"/>
          </w:rPr>
          <w:t>[89]</w:t>
        </w:r>
      </w:hyperlink>
      <w:r>
        <w:t xml:space="preserve"> https://abacusinsights.com/solutions/payment-integrity/</w:t>
      </w:r>
    </w:p>
    <w:p w14:paraId="45C68E60" w14:textId="77777777" w:rsidR="00C56B92" w:rsidRDefault="00000000">
      <w:pPr>
        <w:pStyle w:val="BodyText"/>
      </w:pPr>
      <w:hyperlink r:id="rId149">
        <w:r>
          <w:rPr>
            <w:rStyle w:val="Hyperlink"/>
          </w:rPr>
          <w:t>https://abacusinsights.com/solutions/payment-integrity/</w:t>
        </w:r>
      </w:hyperlink>
    </w:p>
    <w:p w14:paraId="6D50C021" w14:textId="77777777" w:rsidR="00C56B92" w:rsidRDefault="00000000">
      <w:pPr>
        <w:pStyle w:val="BodyText"/>
      </w:pPr>
      <w:hyperlink r:id="rId150">
        <w:r>
          <w:rPr>
            <w:rStyle w:val="Hyperlink"/>
          </w:rPr>
          <w:t>[3]</w:t>
        </w:r>
      </w:hyperlink>
      <w:r>
        <w:t xml:space="preserve"> https://fluidproject.atlassian.net/wiki/spaces/fluid/pages/11523191/User%2BTesting%2Bof%2BSonified%2BPie%2BChart%2BData%2BFloe%2BChart%2BAuthoring%2BTool</w:t>
      </w:r>
    </w:p>
    <w:p w14:paraId="4DE7A839" w14:textId="77777777" w:rsidR="00C56B92" w:rsidRDefault="00000000">
      <w:pPr>
        <w:pStyle w:val="BodyText"/>
      </w:pPr>
      <w:hyperlink r:id="rId151">
        <w:r>
          <w:rPr>
            <w:rStyle w:val="Hyperlink"/>
          </w:rPr>
          <w:t>https://fluidproject.atlassian.net/wiki/spaces/fluid/pages/11523191/User%2BTesting%2Bof%2BSonified%2BPie%2BChart%2BData%2BFloe%2BChart%2BAuthoring%2BTool</w:t>
        </w:r>
      </w:hyperlink>
    </w:p>
    <w:p w14:paraId="4B2D84AC" w14:textId="77777777" w:rsidR="00C56B92" w:rsidRDefault="00000000">
      <w:pPr>
        <w:pStyle w:val="BodyText"/>
      </w:pPr>
      <w:hyperlink r:id="rId152">
        <w:r>
          <w:rPr>
            <w:rStyle w:val="Hyperlink"/>
          </w:rPr>
          <w:t>[6]</w:t>
        </w:r>
      </w:hyperlink>
      <w:r>
        <w:t xml:space="preserve"> </w:t>
      </w:r>
      <w:hyperlink r:id="rId153">
        <w:r>
          <w:rPr>
            <w:rStyle w:val="Hyperlink"/>
          </w:rPr>
          <w:t>[18]</w:t>
        </w:r>
      </w:hyperlink>
      <w:r>
        <w:t xml:space="preserve"> </w:t>
      </w:r>
      <w:hyperlink r:id="rId154">
        <w:r>
          <w:rPr>
            <w:rStyle w:val="Hyperlink"/>
          </w:rPr>
          <w:t>[32]</w:t>
        </w:r>
      </w:hyperlink>
      <w:r>
        <w:t xml:space="preserve"> </w:t>
      </w:r>
      <w:hyperlink r:id="rId155">
        <w:r>
          <w:rPr>
            <w:rStyle w:val="Hyperlink"/>
          </w:rPr>
          <w:t>[41]</w:t>
        </w:r>
      </w:hyperlink>
      <w:r>
        <w:t xml:space="preserve"> </w:t>
      </w:r>
      <w:hyperlink r:id="rId156">
        <w:r>
          <w:rPr>
            <w:rStyle w:val="Hyperlink"/>
          </w:rPr>
          <w:t>[42]</w:t>
        </w:r>
      </w:hyperlink>
      <w:r>
        <w:t xml:space="preserve"> </w:t>
      </w:r>
      <w:hyperlink r:id="rId157">
        <w:r>
          <w:rPr>
            <w:rStyle w:val="Hyperlink"/>
          </w:rPr>
          <w:t>[43]</w:t>
        </w:r>
      </w:hyperlink>
      <w:r>
        <w:t xml:space="preserve"> </w:t>
      </w:r>
      <w:hyperlink r:id="rId158">
        <w:r>
          <w:rPr>
            <w:rStyle w:val="Hyperlink"/>
          </w:rPr>
          <w:t>[45]</w:t>
        </w:r>
      </w:hyperlink>
      <w:r>
        <w:t xml:space="preserve"> </w:t>
      </w:r>
      <w:hyperlink r:id="rId159">
        <w:r>
          <w:rPr>
            <w:rStyle w:val="Hyperlink"/>
          </w:rPr>
          <w:t>[46]</w:t>
        </w:r>
      </w:hyperlink>
      <w:r>
        <w:t xml:space="preserve"> </w:t>
      </w:r>
      <w:hyperlink r:id="rId160">
        <w:r>
          <w:rPr>
            <w:rStyle w:val="Hyperlink"/>
          </w:rPr>
          <w:t>[84]</w:t>
        </w:r>
      </w:hyperlink>
      <w:r>
        <w:t xml:space="preserve"> </w:t>
      </w:r>
      <w:hyperlink r:id="rId161">
        <w:r>
          <w:rPr>
            <w:rStyle w:val="Hyperlink"/>
          </w:rPr>
          <w:t>[85]</w:t>
        </w:r>
      </w:hyperlink>
      <w:r>
        <w:t xml:space="preserve"> https://abacusinsights.com/solutions/hedis-accelerator/</w:t>
      </w:r>
    </w:p>
    <w:p w14:paraId="2C479EE4" w14:textId="77777777" w:rsidR="00C56B92" w:rsidRDefault="00000000">
      <w:pPr>
        <w:pStyle w:val="BodyText"/>
      </w:pPr>
      <w:hyperlink r:id="rId162">
        <w:r>
          <w:rPr>
            <w:rStyle w:val="Hyperlink"/>
          </w:rPr>
          <w:t>https://abacusinsights.com/solutions/hedis-accelerator/</w:t>
        </w:r>
      </w:hyperlink>
    </w:p>
    <w:p w14:paraId="52A75397" w14:textId="77777777" w:rsidR="00C56B92" w:rsidRDefault="00000000">
      <w:pPr>
        <w:pStyle w:val="BodyText"/>
      </w:pPr>
      <w:hyperlink r:id="rId163">
        <w:r>
          <w:rPr>
            <w:rStyle w:val="Hyperlink"/>
          </w:rPr>
          <w:t>[7]</w:t>
        </w:r>
      </w:hyperlink>
      <w:r>
        <w:t xml:space="preserve"> </w:t>
      </w:r>
      <w:hyperlink r:id="rId164">
        <w:r>
          <w:rPr>
            <w:rStyle w:val="Hyperlink"/>
          </w:rPr>
          <w:t>[19]</w:t>
        </w:r>
      </w:hyperlink>
      <w:r>
        <w:t xml:space="preserve"> </w:t>
      </w:r>
      <w:hyperlink r:id="rId165">
        <w:r>
          <w:rPr>
            <w:rStyle w:val="Hyperlink"/>
          </w:rPr>
          <w:t>[47]</w:t>
        </w:r>
      </w:hyperlink>
      <w:r>
        <w:t xml:space="preserve"> </w:t>
      </w:r>
      <w:hyperlink r:id="rId166">
        <w:r>
          <w:rPr>
            <w:rStyle w:val="Hyperlink"/>
          </w:rPr>
          <w:t>[49]</w:t>
        </w:r>
      </w:hyperlink>
      <w:r>
        <w:t xml:space="preserve"> </w:t>
      </w:r>
      <w:hyperlink r:id="rId167">
        <w:r>
          <w:rPr>
            <w:rStyle w:val="Hyperlink"/>
          </w:rPr>
          <w:t>[50]</w:t>
        </w:r>
      </w:hyperlink>
      <w:r>
        <w:t xml:space="preserve"> https://abacusinsights.com/solutions/risk-adjustment/</w:t>
      </w:r>
    </w:p>
    <w:p w14:paraId="783E9B9F" w14:textId="77777777" w:rsidR="00C56B92" w:rsidRDefault="00000000">
      <w:pPr>
        <w:pStyle w:val="BodyText"/>
      </w:pPr>
      <w:hyperlink r:id="rId168">
        <w:r>
          <w:rPr>
            <w:rStyle w:val="Hyperlink"/>
          </w:rPr>
          <w:t>https://abacusinsights.com/solutions/risk-adjustment/</w:t>
        </w:r>
      </w:hyperlink>
    </w:p>
    <w:p w14:paraId="14E525D0" w14:textId="77777777" w:rsidR="00C56B92" w:rsidRDefault="00000000">
      <w:pPr>
        <w:pStyle w:val="BodyText"/>
      </w:pPr>
      <w:hyperlink r:id="rId169">
        <w:r>
          <w:rPr>
            <w:rStyle w:val="Hyperlink"/>
          </w:rPr>
          <w:t>[8]</w:t>
        </w:r>
      </w:hyperlink>
      <w:r>
        <w:t xml:space="preserve"> </w:t>
      </w:r>
      <w:hyperlink r:id="rId170">
        <w:r>
          <w:rPr>
            <w:rStyle w:val="Hyperlink"/>
          </w:rPr>
          <w:t>[15]</w:t>
        </w:r>
      </w:hyperlink>
      <w:r>
        <w:t xml:space="preserve"> </w:t>
      </w:r>
      <w:hyperlink r:id="rId171">
        <w:r>
          <w:rPr>
            <w:rStyle w:val="Hyperlink"/>
          </w:rPr>
          <w:t>[55]</w:t>
        </w:r>
      </w:hyperlink>
      <w:r>
        <w:t xml:space="preserve"> https://abacusinsights.com/solutions-platform/</w:t>
      </w:r>
    </w:p>
    <w:p w14:paraId="35E86A90" w14:textId="77777777" w:rsidR="00C56B92" w:rsidRDefault="00000000">
      <w:pPr>
        <w:pStyle w:val="BodyText"/>
      </w:pPr>
      <w:hyperlink r:id="rId172">
        <w:r>
          <w:rPr>
            <w:rStyle w:val="Hyperlink"/>
          </w:rPr>
          <w:t>https://abacusinsights.com/solutions-platform/</w:t>
        </w:r>
      </w:hyperlink>
    </w:p>
    <w:p w14:paraId="304CF386" w14:textId="77777777" w:rsidR="00C56B92" w:rsidRDefault="00000000">
      <w:pPr>
        <w:pStyle w:val="BodyText"/>
      </w:pPr>
      <w:hyperlink r:id="rId173">
        <w:r>
          <w:rPr>
            <w:rStyle w:val="Hyperlink"/>
          </w:rPr>
          <w:t>[9]</w:t>
        </w:r>
      </w:hyperlink>
      <w:r>
        <w:t xml:space="preserve"> </w:t>
      </w:r>
      <w:hyperlink r:id="rId174">
        <w:r>
          <w:rPr>
            <w:rStyle w:val="Hyperlink"/>
          </w:rPr>
          <w:t>[20]</w:t>
        </w:r>
      </w:hyperlink>
      <w:r>
        <w:t xml:space="preserve"> </w:t>
      </w:r>
      <w:hyperlink r:id="rId175">
        <w:r>
          <w:rPr>
            <w:rStyle w:val="Hyperlink"/>
          </w:rPr>
          <w:t>[64]</w:t>
        </w:r>
      </w:hyperlink>
      <w:r>
        <w:t xml:space="preserve"> https://abacusinsights.com/solutions/clinical-data-solution/</w:t>
      </w:r>
    </w:p>
    <w:p w14:paraId="13273406" w14:textId="77777777" w:rsidR="00C56B92" w:rsidRDefault="00000000">
      <w:pPr>
        <w:pStyle w:val="BodyText"/>
      </w:pPr>
      <w:hyperlink r:id="rId176">
        <w:r>
          <w:rPr>
            <w:rStyle w:val="Hyperlink"/>
          </w:rPr>
          <w:t>https://abacusinsights.com/solutions/clinical-data-solution/</w:t>
        </w:r>
      </w:hyperlink>
    </w:p>
    <w:p w14:paraId="62038393" w14:textId="77777777" w:rsidR="00C56B92" w:rsidRDefault="00000000">
      <w:pPr>
        <w:pStyle w:val="BodyText"/>
      </w:pPr>
      <w:hyperlink r:id="rId177">
        <w:r>
          <w:rPr>
            <w:rStyle w:val="Hyperlink"/>
          </w:rPr>
          <w:t>[10]</w:t>
        </w:r>
      </w:hyperlink>
      <w:r>
        <w:t xml:space="preserve"> </w:t>
      </w:r>
      <w:hyperlink r:id="rId178">
        <w:r>
          <w:rPr>
            <w:rStyle w:val="Hyperlink"/>
          </w:rPr>
          <w:t>[22]</w:t>
        </w:r>
      </w:hyperlink>
      <w:r>
        <w:t xml:space="preserve"> </w:t>
      </w:r>
      <w:hyperlink r:id="rId179">
        <w:r>
          <w:rPr>
            <w:rStyle w:val="Hyperlink"/>
          </w:rPr>
          <w:t>[69]</w:t>
        </w:r>
      </w:hyperlink>
      <w:r>
        <w:t xml:space="preserve"> </w:t>
      </w:r>
      <w:hyperlink r:id="rId180">
        <w:r>
          <w:rPr>
            <w:rStyle w:val="Hyperlink"/>
          </w:rPr>
          <w:t>[70]</w:t>
        </w:r>
      </w:hyperlink>
      <w:r>
        <w:t xml:space="preserve"> https://abacusinsights.com/solutions/stars-performance/</w:t>
      </w:r>
    </w:p>
    <w:p w14:paraId="3BDB7D7D" w14:textId="77777777" w:rsidR="00C56B92" w:rsidRDefault="00000000">
      <w:pPr>
        <w:pStyle w:val="BodyText"/>
      </w:pPr>
      <w:hyperlink r:id="rId181">
        <w:r>
          <w:rPr>
            <w:rStyle w:val="Hyperlink"/>
          </w:rPr>
          <w:t>https://abacusinsights.com/solutions/stars-performance/</w:t>
        </w:r>
      </w:hyperlink>
    </w:p>
    <w:p w14:paraId="6E69EB24" w14:textId="77777777" w:rsidR="00C56B92" w:rsidRDefault="00000000">
      <w:pPr>
        <w:pStyle w:val="BodyText"/>
      </w:pPr>
      <w:hyperlink r:id="rId182">
        <w:r>
          <w:rPr>
            <w:rStyle w:val="Hyperlink"/>
          </w:rPr>
          <w:t>[11]</w:t>
        </w:r>
      </w:hyperlink>
      <w:r>
        <w:t xml:space="preserve"> </w:t>
      </w:r>
      <w:hyperlink r:id="rId183">
        <w:r>
          <w:rPr>
            <w:rStyle w:val="Hyperlink"/>
          </w:rPr>
          <w:t>[17]</w:t>
        </w:r>
      </w:hyperlink>
      <w:r>
        <w:t xml:space="preserve"> </w:t>
      </w:r>
      <w:hyperlink r:id="rId184">
        <w:r>
          <w:rPr>
            <w:rStyle w:val="Hyperlink"/>
          </w:rPr>
          <w:t>[74]</w:t>
        </w:r>
      </w:hyperlink>
      <w:r>
        <w:t xml:space="preserve"> https://abacusinsights.com/solutions/cms-interoperability/</w:t>
      </w:r>
    </w:p>
    <w:p w14:paraId="706EAFE6" w14:textId="77777777" w:rsidR="00C56B92" w:rsidRDefault="00000000">
      <w:pPr>
        <w:pStyle w:val="BodyText"/>
      </w:pPr>
      <w:hyperlink r:id="rId185">
        <w:r>
          <w:rPr>
            <w:rStyle w:val="Hyperlink"/>
          </w:rPr>
          <w:t>https://abacusinsights.com/solutions/cms-interoperability/</w:t>
        </w:r>
      </w:hyperlink>
    </w:p>
    <w:p w14:paraId="615EF314" w14:textId="77777777" w:rsidR="00C56B92" w:rsidRDefault="00000000">
      <w:pPr>
        <w:pStyle w:val="BodyText"/>
      </w:pPr>
      <w:hyperlink r:id="rId186">
        <w:r>
          <w:rPr>
            <w:rStyle w:val="Hyperlink"/>
          </w:rPr>
          <w:t>[12]</w:t>
        </w:r>
      </w:hyperlink>
      <w:r>
        <w:t xml:space="preserve"> </w:t>
      </w:r>
      <w:hyperlink r:id="rId187">
        <w:r>
          <w:rPr>
            <w:rStyle w:val="Hyperlink"/>
          </w:rPr>
          <w:t>[21]</w:t>
        </w:r>
      </w:hyperlink>
      <w:r>
        <w:t xml:space="preserve"> </w:t>
      </w:r>
      <w:hyperlink r:id="rId188">
        <w:r>
          <w:rPr>
            <w:rStyle w:val="Hyperlink"/>
          </w:rPr>
          <w:t>[67]</w:t>
        </w:r>
      </w:hyperlink>
      <w:r>
        <w:t xml:space="preserve"> https://abacusinsights.com/solutions/cost-of-care-management/</w:t>
      </w:r>
    </w:p>
    <w:p w14:paraId="12A02F18" w14:textId="77777777" w:rsidR="00C56B92" w:rsidRDefault="00000000">
      <w:pPr>
        <w:pStyle w:val="BodyText"/>
      </w:pPr>
      <w:hyperlink r:id="rId189">
        <w:r>
          <w:rPr>
            <w:rStyle w:val="Hyperlink"/>
          </w:rPr>
          <w:t>https://abacusinsights.com/solutions/cost-of-care-management/</w:t>
        </w:r>
      </w:hyperlink>
    </w:p>
    <w:p w14:paraId="263B639E" w14:textId="77777777" w:rsidR="00C56B92" w:rsidRDefault="00000000">
      <w:pPr>
        <w:pStyle w:val="BodyText"/>
      </w:pPr>
      <w:hyperlink r:id="rId190">
        <w:r>
          <w:rPr>
            <w:rStyle w:val="Hyperlink"/>
          </w:rPr>
          <w:t>[23]</w:t>
        </w:r>
      </w:hyperlink>
      <w:r>
        <w:t xml:space="preserve"> </w:t>
      </w:r>
      <w:hyperlink r:id="rId191">
        <w:r>
          <w:rPr>
            <w:rStyle w:val="Hyperlink"/>
          </w:rPr>
          <w:t>[87]</w:t>
        </w:r>
      </w:hyperlink>
      <w:r>
        <w:t xml:space="preserve"> </w:t>
      </w:r>
      <w:hyperlink r:id="rId192">
        <w:r>
          <w:rPr>
            <w:rStyle w:val="Hyperlink"/>
          </w:rPr>
          <w:t>[90]</w:t>
        </w:r>
      </w:hyperlink>
      <w:r>
        <w:t xml:space="preserve"> https://abacusinsights.com/trust-and-security/</w:t>
      </w:r>
    </w:p>
    <w:p w14:paraId="4F696B34" w14:textId="77777777" w:rsidR="00C56B92" w:rsidRDefault="00000000">
      <w:pPr>
        <w:pStyle w:val="BodyText"/>
      </w:pPr>
      <w:hyperlink r:id="rId193">
        <w:r>
          <w:rPr>
            <w:rStyle w:val="Hyperlink"/>
          </w:rPr>
          <w:t>https://abacusinsights.com/trust-and-security/</w:t>
        </w:r>
      </w:hyperlink>
    </w:p>
    <w:p w14:paraId="1A429CAF" w14:textId="77777777" w:rsidR="00C56B92" w:rsidRDefault="00000000">
      <w:pPr>
        <w:pStyle w:val="BodyText"/>
      </w:pPr>
      <w:hyperlink r:id="rId194">
        <w:r>
          <w:rPr>
            <w:rStyle w:val="Hyperlink"/>
          </w:rPr>
          <w:t>[28]</w:t>
        </w:r>
      </w:hyperlink>
      <w:r>
        <w:t xml:space="preserve"> </w:t>
      </w:r>
      <w:hyperlink r:id="rId195">
        <w:r>
          <w:rPr>
            <w:rStyle w:val="Hyperlink"/>
          </w:rPr>
          <w:t>[34]</w:t>
        </w:r>
      </w:hyperlink>
      <w:r>
        <w:t xml:space="preserve"> </w:t>
      </w:r>
      <w:hyperlink r:id="rId196">
        <w:r>
          <w:rPr>
            <w:rStyle w:val="Hyperlink"/>
          </w:rPr>
          <w:t>[65]</w:t>
        </w:r>
      </w:hyperlink>
      <w:r>
        <w:t xml:space="preserve"> </w:t>
      </w:r>
      <w:hyperlink r:id="rId197">
        <w:r>
          <w:rPr>
            <w:rStyle w:val="Hyperlink"/>
          </w:rPr>
          <w:t>[72]</w:t>
        </w:r>
      </w:hyperlink>
      <w:r>
        <w:t xml:space="preserve"> </w:t>
      </w:r>
      <w:hyperlink r:id="rId198">
        <w:r>
          <w:rPr>
            <w:rStyle w:val="Hyperlink"/>
          </w:rPr>
          <w:t>[73]</w:t>
        </w:r>
      </w:hyperlink>
      <w:r>
        <w:t xml:space="preserve"> </w:t>
      </w:r>
      <w:hyperlink r:id="rId199">
        <w:r>
          <w:rPr>
            <w:rStyle w:val="Hyperlink"/>
          </w:rPr>
          <w:t>[76]</w:t>
        </w:r>
      </w:hyperlink>
      <w:r>
        <w:t xml:space="preserve"> </w:t>
      </w:r>
      <w:hyperlink r:id="rId200">
        <w:r>
          <w:rPr>
            <w:rStyle w:val="Hyperlink"/>
          </w:rPr>
          <w:t>[77]</w:t>
        </w:r>
      </w:hyperlink>
      <w:r>
        <w:t xml:space="preserve"> </w:t>
      </w:r>
      <w:hyperlink r:id="rId201">
        <w:r>
          <w:rPr>
            <w:rStyle w:val="Hyperlink"/>
          </w:rPr>
          <w:t>[91]</w:t>
        </w:r>
      </w:hyperlink>
      <w:r>
        <w:t xml:space="preserve"> https://www.cms.gov/newsroom/fact-sheets/cms-interoperability-prior-authorization-final-rule-cms-0057-f</w:t>
      </w:r>
    </w:p>
    <w:p w14:paraId="0881A38B" w14:textId="77777777" w:rsidR="00C56B92" w:rsidRDefault="00000000">
      <w:pPr>
        <w:pStyle w:val="BodyText"/>
      </w:pPr>
      <w:hyperlink r:id="rId202">
        <w:r>
          <w:rPr>
            <w:rStyle w:val="Hyperlink"/>
          </w:rPr>
          <w:t>https://www.cms.gov/newsroom/fact-sheets/cms-interoperability-prior-authorization-final-rule-cms-0057-f</w:t>
        </w:r>
      </w:hyperlink>
    </w:p>
    <w:p w14:paraId="706BC749" w14:textId="77777777" w:rsidR="00C56B92" w:rsidRDefault="00000000">
      <w:pPr>
        <w:pStyle w:val="BodyText"/>
      </w:pPr>
      <w:hyperlink r:id="rId203">
        <w:r>
          <w:rPr>
            <w:rStyle w:val="Hyperlink"/>
          </w:rPr>
          <w:t>[29]</w:t>
        </w:r>
      </w:hyperlink>
      <w:r>
        <w:t xml:space="preserve"> </w:t>
      </w:r>
      <w:hyperlink r:id="rId204">
        <w:r>
          <w:rPr>
            <w:rStyle w:val="Hyperlink"/>
          </w:rPr>
          <w:t>[52]</w:t>
        </w:r>
      </w:hyperlink>
      <w:r>
        <w:t xml:space="preserve"> https://arxiv.org/abs/2507.22943</w:t>
      </w:r>
    </w:p>
    <w:p w14:paraId="71C939C5" w14:textId="77777777" w:rsidR="00C56B92" w:rsidRDefault="00000000">
      <w:pPr>
        <w:pStyle w:val="BodyText"/>
      </w:pPr>
      <w:hyperlink r:id="rId205">
        <w:r>
          <w:rPr>
            <w:rStyle w:val="Hyperlink"/>
          </w:rPr>
          <w:t>https://arxiv.org/abs/2507.22943</w:t>
        </w:r>
      </w:hyperlink>
    </w:p>
    <w:p w14:paraId="4FBA3D51" w14:textId="77777777" w:rsidR="00C56B92" w:rsidRDefault="00000000">
      <w:pPr>
        <w:pStyle w:val="BodyText"/>
      </w:pPr>
      <w:hyperlink r:id="rId206">
        <w:r>
          <w:rPr>
            <w:rStyle w:val="Hyperlink"/>
          </w:rPr>
          <w:t>[30]</w:t>
        </w:r>
      </w:hyperlink>
      <w:r>
        <w:t xml:space="preserve"> </w:t>
      </w:r>
      <w:hyperlink r:id="rId207">
        <w:r>
          <w:rPr>
            <w:rStyle w:val="Hyperlink"/>
          </w:rPr>
          <w:t>[48]</w:t>
        </w:r>
      </w:hyperlink>
      <w:r>
        <w:t xml:space="preserve"> </w:t>
      </w:r>
      <w:hyperlink r:id="rId208">
        <w:r>
          <w:rPr>
            <w:rStyle w:val="Hyperlink"/>
          </w:rPr>
          <w:t>[51]</w:t>
        </w:r>
      </w:hyperlink>
      <w:r>
        <w:t xml:space="preserve"> </w:t>
      </w:r>
      <w:hyperlink r:id="rId209">
        <w:r>
          <w:rPr>
            <w:rStyle w:val="Hyperlink"/>
          </w:rPr>
          <w:t>[54]</w:t>
        </w:r>
      </w:hyperlink>
      <w:r>
        <w:t xml:space="preserve"> </w:t>
      </w:r>
      <w:hyperlink r:id="rId210">
        <w:r>
          <w:rPr>
            <w:rStyle w:val="Hyperlink"/>
          </w:rPr>
          <w:t>[86]</w:t>
        </w:r>
      </w:hyperlink>
      <w:r>
        <w:t xml:space="preserve"> https://www.cms.gov/files/document/payment-year-2020-ma-radv-audit-methods-instructions.pdf</w:t>
      </w:r>
    </w:p>
    <w:p w14:paraId="36CF24EB" w14:textId="77777777" w:rsidR="00C56B92" w:rsidRDefault="00000000">
      <w:pPr>
        <w:pStyle w:val="BodyText"/>
      </w:pPr>
      <w:hyperlink r:id="rId211">
        <w:r>
          <w:rPr>
            <w:rStyle w:val="Hyperlink"/>
          </w:rPr>
          <w:t>https://www.cms.gov/files/document/payment-year-2020-ma-radv-audit-methods-instructions.pdf</w:t>
        </w:r>
      </w:hyperlink>
    </w:p>
    <w:p w14:paraId="43C812B4" w14:textId="77777777" w:rsidR="00C56B92" w:rsidRDefault="00000000">
      <w:pPr>
        <w:pStyle w:val="BodyText"/>
      </w:pPr>
      <w:hyperlink r:id="rId212">
        <w:r>
          <w:rPr>
            <w:rStyle w:val="Hyperlink"/>
          </w:rPr>
          <w:t>[31]</w:t>
        </w:r>
      </w:hyperlink>
      <w:r>
        <w:t xml:space="preserve"> https://www.gao.gov/products/gao-24-107487</w:t>
      </w:r>
    </w:p>
    <w:p w14:paraId="6D825A3B" w14:textId="77777777" w:rsidR="00C56B92" w:rsidRDefault="00000000">
      <w:pPr>
        <w:pStyle w:val="BodyText"/>
      </w:pPr>
      <w:hyperlink r:id="rId213">
        <w:r>
          <w:rPr>
            <w:rStyle w:val="Hyperlink"/>
          </w:rPr>
          <w:t>https://www.gao.gov/products/gao-24-107487</w:t>
        </w:r>
      </w:hyperlink>
    </w:p>
    <w:p w14:paraId="3CCC7747" w14:textId="77777777" w:rsidR="00C56B92" w:rsidRDefault="00000000">
      <w:pPr>
        <w:pStyle w:val="BodyText"/>
      </w:pPr>
      <w:hyperlink r:id="rId214">
        <w:r>
          <w:rPr>
            <w:rStyle w:val="Hyperlink"/>
          </w:rPr>
          <w:t>[33]</w:t>
        </w:r>
      </w:hyperlink>
      <w:r>
        <w:t xml:space="preserve"> </w:t>
      </w:r>
      <w:hyperlink r:id="rId215">
        <w:r>
          <w:rPr>
            <w:rStyle w:val="Hyperlink"/>
          </w:rPr>
          <w:t>[56]</w:t>
        </w:r>
      </w:hyperlink>
      <w:r>
        <w:t xml:space="preserve"> </w:t>
      </w:r>
      <w:hyperlink r:id="rId216">
        <w:r>
          <w:rPr>
            <w:rStyle w:val="Hyperlink"/>
          </w:rPr>
          <w:t>[57]</w:t>
        </w:r>
      </w:hyperlink>
      <w:r>
        <w:t xml:space="preserve"> </w:t>
      </w:r>
      <w:hyperlink r:id="rId217">
        <w:r>
          <w:rPr>
            <w:rStyle w:val="Hyperlink"/>
          </w:rPr>
          <w:t>[59]</w:t>
        </w:r>
      </w:hyperlink>
      <w:r>
        <w:t xml:space="preserve"> </w:t>
      </w:r>
      <w:hyperlink r:id="rId218">
        <w:r>
          <w:rPr>
            <w:rStyle w:val="Hyperlink"/>
          </w:rPr>
          <w:t>[61]</w:t>
        </w:r>
      </w:hyperlink>
      <w:r>
        <w:t xml:space="preserve"> </w:t>
      </w:r>
      <w:hyperlink r:id="rId219">
        <w:r>
          <w:rPr>
            <w:rStyle w:val="Hyperlink"/>
          </w:rPr>
          <w:t>[62]</w:t>
        </w:r>
      </w:hyperlink>
      <w:r>
        <w:t xml:space="preserve"> </w:t>
      </w:r>
      <w:hyperlink r:id="rId220">
        <w:r>
          <w:rPr>
            <w:rStyle w:val="Hyperlink"/>
          </w:rPr>
          <w:t>[63]</w:t>
        </w:r>
      </w:hyperlink>
      <w:r>
        <w:t xml:space="preserve"> </w:t>
      </w:r>
      <w:hyperlink r:id="rId221">
        <w:r>
          <w:rPr>
            <w:rStyle w:val="Hyperlink"/>
          </w:rPr>
          <w:t>[88]</w:t>
        </w:r>
      </w:hyperlink>
      <w:r>
        <w:t xml:space="preserve"> </w:t>
      </w:r>
      <w:hyperlink r:id="rId222">
        <w:r>
          <w:rPr>
            <w:rStyle w:val="Hyperlink"/>
          </w:rPr>
          <w:t>[93]</w:t>
        </w:r>
      </w:hyperlink>
      <w:r>
        <w:t xml:space="preserve"> https://abacusinsights.com/wp-content/uploads/2021/07/Abacus-Insights-Overview-Slick_Aug-update-vF.pdf</w:t>
      </w:r>
    </w:p>
    <w:p w14:paraId="0B08C393" w14:textId="77777777" w:rsidR="00C56B92" w:rsidRDefault="00000000">
      <w:pPr>
        <w:pStyle w:val="BodyText"/>
      </w:pPr>
      <w:hyperlink r:id="rId223">
        <w:r>
          <w:rPr>
            <w:rStyle w:val="Hyperlink"/>
          </w:rPr>
          <w:t>https://abacusinsights.com/wp-content/uploads/2021/07/Abacus-Insights-Overview-Slick_Aug-update-vF.pdf</w:t>
        </w:r>
      </w:hyperlink>
    </w:p>
    <w:p w14:paraId="6A439DA4" w14:textId="77777777" w:rsidR="00C56B92" w:rsidRDefault="00000000">
      <w:pPr>
        <w:pStyle w:val="BodyText"/>
      </w:pPr>
      <w:hyperlink r:id="rId224">
        <w:r>
          <w:rPr>
            <w:rStyle w:val="Hyperlink"/>
          </w:rPr>
          <w:t>[35]</w:t>
        </w:r>
      </w:hyperlink>
      <w:r>
        <w:t xml:space="preserve"> https://abacusinsights.com/healthcare-data-usability-leader-abacus-insights-charts-its-growth-with-appointment-of-new-chief-operating-officer/</w:t>
      </w:r>
    </w:p>
    <w:p w14:paraId="3F03821B" w14:textId="77777777" w:rsidR="00C56B92" w:rsidRDefault="00000000">
      <w:pPr>
        <w:pStyle w:val="BodyText"/>
      </w:pPr>
      <w:hyperlink r:id="rId225">
        <w:r>
          <w:rPr>
            <w:rStyle w:val="Hyperlink"/>
          </w:rPr>
          <w:t>https://abacusinsights.com/healthcare-data-usability-leader-abacus-insights-charts-its-growth-with-appointment-of-new-chief-operating-officer/</w:t>
        </w:r>
      </w:hyperlink>
    </w:p>
    <w:p w14:paraId="04A3245F" w14:textId="77777777" w:rsidR="00C56B92" w:rsidRDefault="00000000">
      <w:pPr>
        <w:pStyle w:val="BodyText"/>
      </w:pPr>
      <w:hyperlink r:id="rId226">
        <w:r>
          <w:rPr>
            <w:rStyle w:val="Hyperlink"/>
          </w:rPr>
          <w:t>[37]</w:t>
        </w:r>
      </w:hyperlink>
      <w:r>
        <w:t xml:space="preserve"> https://www.businesswire.com/news/home/20260323793295/en/Abacus-Insights-and-CoverSelf-Partner-to-Strengthen-Payment-Integrity-for-U.S.-Health-Plans</w:t>
      </w:r>
    </w:p>
    <w:p w14:paraId="01B70CD5" w14:textId="77777777" w:rsidR="00C56B92" w:rsidRDefault="00000000">
      <w:pPr>
        <w:pStyle w:val="BodyText"/>
      </w:pPr>
      <w:hyperlink r:id="rId227">
        <w:r>
          <w:rPr>
            <w:rStyle w:val="Hyperlink"/>
          </w:rPr>
          <w:t>https://www.businesswire.com/news/home/20260323793295/en/Abacus-Insights-and-CoverSelf-Partner-to-Strengthen-Payment-Integrity-for-U.S.-Health-Plans</w:t>
        </w:r>
      </w:hyperlink>
    </w:p>
    <w:p w14:paraId="66740352" w14:textId="77777777" w:rsidR="00C56B92" w:rsidRDefault="00000000">
      <w:pPr>
        <w:pStyle w:val="BodyText"/>
      </w:pPr>
      <w:hyperlink r:id="rId228">
        <w:r>
          <w:rPr>
            <w:rStyle w:val="Hyperlink"/>
          </w:rPr>
          <w:t>[39]</w:t>
        </w:r>
      </w:hyperlink>
      <w:r>
        <w:t xml:space="preserve"> </w:t>
      </w:r>
      <w:hyperlink r:id="rId229">
        <w:r>
          <w:rPr>
            <w:rStyle w:val="Hyperlink"/>
          </w:rPr>
          <w:t>[97]</w:t>
        </w:r>
      </w:hyperlink>
      <w:r>
        <w:t xml:space="preserve"> https://www.sciencedirect.com/science/article/pii/S0933365724003038</w:t>
      </w:r>
    </w:p>
    <w:p w14:paraId="0BB0469F" w14:textId="77777777" w:rsidR="00C56B92" w:rsidRDefault="00000000">
      <w:pPr>
        <w:pStyle w:val="BodyText"/>
      </w:pPr>
      <w:hyperlink r:id="rId230">
        <w:r>
          <w:rPr>
            <w:rStyle w:val="Hyperlink"/>
          </w:rPr>
          <w:t>https://www.sciencedirect.com/science/article/pii/S0933365724003038</w:t>
        </w:r>
      </w:hyperlink>
    </w:p>
    <w:p w14:paraId="0492067A" w14:textId="77777777" w:rsidR="00C56B92" w:rsidRDefault="00000000">
      <w:pPr>
        <w:pStyle w:val="BodyText"/>
      </w:pPr>
      <w:hyperlink r:id="rId231">
        <w:r>
          <w:rPr>
            <w:rStyle w:val="Hyperlink"/>
          </w:rPr>
          <w:t>[44]</w:t>
        </w:r>
      </w:hyperlink>
      <w:r>
        <w:t xml:space="preserve"> </w:t>
      </w:r>
      <w:hyperlink r:id="rId232">
        <w:r>
          <w:rPr>
            <w:rStyle w:val="Hyperlink"/>
          </w:rPr>
          <w:t>[95]</w:t>
        </w:r>
      </w:hyperlink>
      <w:r>
        <w:t xml:space="preserve"> https://wpcdn.ncqa.org/www-prod/Special-Report-October-2025-Results-for-Measures-Leveraging-Electronic-Clinical-Data-for-HEDIS-1.pdf</w:t>
      </w:r>
    </w:p>
    <w:p w14:paraId="710F1916" w14:textId="77777777" w:rsidR="00C56B92" w:rsidRDefault="00000000">
      <w:pPr>
        <w:pStyle w:val="BodyText"/>
      </w:pPr>
      <w:hyperlink r:id="rId233">
        <w:r>
          <w:rPr>
            <w:rStyle w:val="Hyperlink"/>
          </w:rPr>
          <w:t>https://wpcdn.ncqa.org/www-prod/Special-Report-October-2025-Results-for-Measures-Leveraging-Electronic-Clinical-Data-for-HEDIS-1.pdf</w:t>
        </w:r>
      </w:hyperlink>
    </w:p>
    <w:p w14:paraId="6B42459E" w14:textId="77777777" w:rsidR="00C56B92" w:rsidRDefault="00000000">
      <w:pPr>
        <w:pStyle w:val="BodyText"/>
      </w:pPr>
      <w:hyperlink r:id="rId234">
        <w:r>
          <w:rPr>
            <w:rStyle w:val="Hyperlink"/>
          </w:rPr>
          <w:t>[53]</w:t>
        </w:r>
      </w:hyperlink>
      <w:r>
        <w:t xml:space="preserve"> https://www.iqvia.com/solutions/real-world-evidence/iqvia-nlp-platform/improve-accuracy-of-risk-adjustment-and-speed-medical-record</w:t>
      </w:r>
    </w:p>
    <w:p w14:paraId="6875BC80" w14:textId="77777777" w:rsidR="00C56B92" w:rsidRDefault="00000000">
      <w:pPr>
        <w:pStyle w:val="BodyText"/>
      </w:pPr>
      <w:hyperlink r:id="rId235">
        <w:r>
          <w:rPr>
            <w:rStyle w:val="Hyperlink"/>
          </w:rPr>
          <w:t>https://www.iqvia.com/solutions/real-world-evidence/iqvia-nlp-platform/improve-accuracy-of-risk-adjustment-and-speed-medical-record</w:t>
        </w:r>
      </w:hyperlink>
    </w:p>
    <w:p w14:paraId="07CD6F51" w14:textId="77777777" w:rsidR="00C56B92" w:rsidRDefault="00000000">
      <w:pPr>
        <w:pStyle w:val="BodyText"/>
      </w:pPr>
      <w:hyperlink r:id="rId236">
        <w:r>
          <w:rPr>
            <w:rStyle w:val="Hyperlink"/>
          </w:rPr>
          <w:t>[60]</w:t>
        </w:r>
      </w:hyperlink>
      <w:r>
        <w:t xml:space="preserve"> </w:t>
      </w:r>
      <w:hyperlink r:id="rId237">
        <w:r>
          <w:rPr>
            <w:rStyle w:val="Hyperlink"/>
          </w:rPr>
          <w:t>[98]</w:t>
        </w:r>
      </w:hyperlink>
      <w:r>
        <w:t xml:space="preserve"> https://abacusinsights.com/abacus-insights-partners-with-blue-cross-blue-shield-of-massachusetts-to-accelerate-healthcare-data-transformation/</w:t>
      </w:r>
    </w:p>
    <w:p w14:paraId="6F3430B8" w14:textId="77777777" w:rsidR="00C56B92" w:rsidRDefault="00000000">
      <w:pPr>
        <w:pStyle w:val="BodyText"/>
      </w:pPr>
      <w:hyperlink r:id="rId238">
        <w:r>
          <w:rPr>
            <w:rStyle w:val="Hyperlink"/>
          </w:rPr>
          <w:t>https://abacusinsights.com/abacus-insights-partners-with-blue-cross-blue-shield-of-massachusetts-to-accelerate-healthcare-data-transformation/</w:t>
        </w:r>
      </w:hyperlink>
    </w:p>
    <w:p w14:paraId="403DE8D2" w14:textId="77777777" w:rsidR="00C56B92" w:rsidRDefault="00000000">
      <w:pPr>
        <w:pStyle w:val="BodyText"/>
      </w:pPr>
      <w:hyperlink r:id="rId239">
        <w:r>
          <w:rPr>
            <w:rStyle w:val="Hyperlink"/>
          </w:rPr>
          <w:t>[66]</w:t>
        </w:r>
      </w:hyperlink>
      <w:r>
        <w:t xml:space="preserve"> https://abacusinsights.com/wp-content/uploads/2024/10/Abacus_Insights_ZS_Case_Study_Final.pdf</w:t>
      </w:r>
    </w:p>
    <w:p w14:paraId="2219A25F" w14:textId="77777777" w:rsidR="00C56B92" w:rsidRDefault="00000000">
      <w:pPr>
        <w:pStyle w:val="BodyText"/>
      </w:pPr>
      <w:hyperlink r:id="rId240">
        <w:r>
          <w:rPr>
            <w:rStyle w:val="Hyperlink"/>
          </w:rPr>
          <w:t>https://abacusinsights.com/wp-content/uploads/2024/10/Abacus_Insights_ZS_Case_Study_Final.pdf</w:t>
        </w:r>
      </w:hyperlink>
    </w:p>
    <w:p w14:paraId="4C76E76F" w14:textId="77777777" w:rsidR="00C56B92" w:rsidRDefault="00000000">
      <w:pPr>
        <w:pStyle w:val="BodyText"/>
      </w:pPr>
      <w:hyperlink r:id="rId241">
        <w:r>
          <w:rPr>
            <w:rStyle w:val="Hyperlink"/>
          </w:rPr>
          <w:t>[68]</w:t>
        </w:r>
      </w:hyperlink>
      <w:r>
        <w:t xml:space="preserve"> </w:t>
      </w:r>
      <w:hyperlink r:id="rId242">
        <w:r>
          <w:rPr>
            <w:rStyle w:val="Hyperlink"/>
          </w:rPr>
          <w:t>[96]</w:t>
        </w:r>
      </w:hyperlink>
      <w:r>
        <w:t xml:space="preserve"> https://www.urban.org/sites/default/files/2024-07/Quality%20Bonus%20Payments%20in%20Medicare%20Advantage.pdf</w:t>
      </w:r>
    </w:p>
    <w:p w14:paraId="08996DC3" w14:textId="77777777" w:rsidR="00C56B92" w:rsidRDefault="00000000">
      <w:pPr>
        <w:pStyle w:val="BodyText"/>
      </w:pPr>
      <w:hyperlink r:id="rId243">
        <w:r>
          <w:rPr>
            <w:rStyle w:val="Hyperlink"/>
          </w:rPr>
          <w:t>https://www.urban.org/sites/default/files/2024-07/Quality%20Bonus%20Payments%20in%20Medicare%20Advantage.pdf</w:t>
        </w:r>
      </w:hyperlink>
    </w:p>
    <w:p w14:paraId="01147C8E" w14:textId="77777777" w:rsidR="00C56B92" w:rsidRDefault="00000000">
      <w:pPr>
        <w:pStyle w:val="BodyText"/>
      </w:pPr>
      <w:hyperlink r:id="rId244">
        <w:r>
          <w:rPr>
            <w:rStyle w:val="Hyperlink"/>
          </w:rPr>
          <w:t>[71]</w:t>
        </w:r>
      </w:hyperlink>
      <w:r>
        <w:t xml:space="preserve"> https://www.cms.gov/newsroom/fact-sheets/contract-year-2027-medicare-advantage-part-d-final-rule</w:t>
      </w:r>
    </w:p>
    <w:p w14:paraId="09FAF53B" w14:textId="77777777" w:rsidR="00C56B92" w:rsidRDefault="00000000">
      <w:pPr>
        <w:pStyle w:val="BodyText"/>
      </w:pPr>
      <w:hyperlink r:id="rId245">
        <w:r>
          <w:rPr>
            <w:rStyle w:val="Hyperlink"/>
          </w:rPr>
          <w:t>https://www.cms.gov/newsroom/fact-sheets/contract-year-2027-medicare-advantage-part-d-final-rule</w:t>
        </w:r>
      </w:hyperlink>
    </w:p>
    <w:p w14:paraId="7B9EA143" w14:textId="77777777" w:rsidR="00C56B92" w:rsidRDefault="00000000">
      <w:pPr>
        <w:pStyle w:val="BodyText"/>
      </w:pPr>
      <w:hyperlink r:id="rId246">
        <w:r>
          <w:rPr>
            <w:rStyle w:val="Hyperlink"/>
          </w:rPr>
          <w:t>[75]</w:t>
        </w:r>
      </w:hyperlink>
      <w:r>
        <w:t xml:space="preserve"> </w:t>
      </w:r>
      <w:hyperlink r:id="rId247">
        <w:r>
          <w:rPr>
            <w:rStyle w:val="Hyperlink"/>
          </w:rPr>
          <w:t>[78]</w:t>
        </w:r>
      </w:hyperlink>
      <w:r>
        <w:t xml:space="preserve"> https://abacusinsights.com/wp-content/uploads/2025/09/CMS_Interoperability_Prdct_Sheet_25-03-09F.pdf</w:t>
      </w:r>
    </w:p>
    <w:p w14:paraId="0F9D81F7" w14:textId="77777777" w:rsidR="00C56B92" w:rsidRDefault="00000000">
      <w:pPr>
        <w:pStyle w:val="BodyText"/>
      </w:pPr>
      <w:hyperlink r:id="rId248">
        <w:r>
          <w:rPr>
            <w:rStyle w:val="Hyperlink"/>
          </w:rPr>
          <w:t>https://abacusinsights.com/wp-content/uploads/2025/09/CMS_Interoperability_Prdct_Sheet_25-03-09F.pdf</w:t>
        </w:r>
      </w:hyperlink>
    </w:p>
    <w:p w14:paraId="288F8AC4" w14:textId="77777777" w:rsidR="00C56B92" w:rsidRDefault="00000000">
      <w:pPr>
        <w:pStyle w:val="BodyText"/>
      </w:pPr>
      <w:hyperlink r:id="rId249">
        <w:r>
          <w:rPr>
            <w:rStyle w:val="Hyperlink"/>
          </w:rPr>
          <w:t>[79]</w:t>
        </w:r>
      </w:hyperlink>
      <w:r>
        <w:t xml:space="preserve"> https://www.cms.gov/marketplace/private-health-insurance/medical-loss-ratio</w:t>
      </w:r>
    </w:p>
    <w:p w14:paraId="25CB5739" w14:textId="77777777" w:rsidR="00C56B92" w:rsidRDefault="00000000">
      <w:pPr>
        <w:pStyle w:val="BodyText"/>
      </w:pPr>
      <w:hyperlink r:id="rId250">
        <w:r>
          <w:rPr>
            <w:rStyle w:val="Hyperlink"/>
          </w:rPr>
          <w:t>https://www.cms.gov/marketplace/private-health-insurance/medical-loss-ratio</w:t>
        </w:r>
      </w:hyperlink>
    </w:p>
    <w:p w14:paraId="04DDED44" w14:textId="77777777" w:rsidR="00C56B92" w:rsidRDefault="00000000">
      <w:pPr>
        <w:pStyle w:val="BodyText"/>
      </w:pPr>
      <w:hyperlink r:id="rId251">
        <w:r>
          <w:rPr>
            <w:rStyle w:val="Hyperlink"/>
          </w:rPr>
          <w:t>[80]</w:t>
        </w:r>
      </w:hyperlink>
      <w:r>
        <w:t xml:space="preserve"> </w:t>
      </w:r>
      <w:hyperlink r:id="rId252">
        <w:r>
          <w:rPr>
            <w:rStyle w:val="Hyperlink"/>
          </w:rPr>
          <w:t>[81]</w:t>
        </w:r>
      </w:hyperlink>
      <w:r>
        <w:t xml:space="preserve"> https://www.businesswire.com/news/home/20230509005210/en/Abacus-Insights-Enables-Health-Plans-to-Track-Total-Cost-of-Care-Throughout-the-Claims-Process</w:t>
      </w:r>
    </w:p>
    <w:p w14:paraId="50E40F16" w14:textId="77777777" w:rsidR="00C56B92" w:rsidRDefault="00000000">
      <w:pPr>
        <w:pStyle w:val="BodyText"/>
      </w:pPr>
      <w:hyperlink r:id="rId253">
        <w:r>
          <w:rPr>
            <w:rStyle w:val="Hyperlink"/>
          </w:rPr>
          <w:t>https://www.businesswire.com/news/home/20230509005210/en/Abacus-Insights-Enables-Health-Plans-to-Track-Total-Cost-of-Care-Throughout-the-Claims-Process</w:t>
        </w:r>
      </w:hyperlink>
    </w:p>
    <w:p w14:paraId="5823A079" w14:textId="77777777" w:rsidR="00C56B92" w:rsidRDefault="00000000">
      <w:pPr>
        <w:pStyle w:val="BodyText"/>
      </w:pPr>
      <w:hyperlink r:id="rId254">
        <w:r>
          <w:rPr>
            <w:rStyle w:val="Hyperlink"/>
          </w:rPr>
          <w:t>[94]</w:t>
        </w:r>
      </w:hyperlink>
      <w:r>
        <w:t xml:space="preserve"> https://www.cms.gov/newsroom/fact-sheets/fiscal-year-2025-improper-payments-fact-sheet</w:t>
      </w:r>
    </w:p>
    <w:p w14:paraId="69D027DB" w14:textId="77777777" w:rsidR="00C56B92" w:rsidRDefault="00000000">
      <w:pPr>
        <w:pStyle w:val="BodyText"/>
      </w:pPr>
      <w:hyperlink r:id="rId255">
        <w:r>
          <w:rPr>
            <w:rStyle w:val="Hyperlink"/>
          </w:rPr>
          <w:t>https://www.cms.gov/newsroom/fact-sheets/fiscal-year-2025-improper-payments-fact-sheet</w:t>
        </w:r>
      </w:hyperlink>
      <w:bookmarkEnd w:id="14"/>
    </w:p>
    <w:sectPr w:rsidR="00C56B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F856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5EB7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50173350">
    <w:abstractNumId w:val="0"/>
  </w:num>
  <w:num w:numId="2" w16cid:durableId="759258622">
    <w:abstractNumId w:val="1"/>
  </w:num>
  <w:num w:numId="3" w16cid:durableId="788740741">
    <w:abstractNumId w:val="1"/>
  </w:num>
  <w:num w:numId="4" w16cid:durableId="2007324940">
    <w:abstractNumId w:val="1"/>
  </w:num>
  <w:num w:numId="5" w16cid:durableId="1744909765">
    <w:abstractNumId w:val="1"/>
  </w:num>
  <w:num w:numId="6" w16cid:durableId="74619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6B92"/>
    <w:rsid w:val="002D5184"/>
    <w:rsid w:val="004A5D05"/>
    <w:rsid w:val="00BD3BF0"/>
    <w:rsid w:val="00C5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C4580A"/>
  <w15:docId w15:val="{9C42310D-6DEC-914F-AC32-10AA1CE2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bacusinsights.com/trust-and-security/" TargetMode="External"/><Relationship Id="rId21" Type="http://schemas.openxmlformats.org/officeDocument/2006/relationships/hyperlink" Target="https://abacusinsights.com/solutions/cms-interoperability/" TargetMode="External"/><Relationship Id="rId42" Type="http://schemas.openxmlformats.org/officeDocument/2006/relationships/hyperlink" Target="https://www.businesswire.com/news/home/20260323793295/en/Abacus-Insights-and-CoverSelf-Partner-to-Strengthen-Payment-Integrity-for-U.S.-Health-Plans" TargetMode="External"/><Relationship Id="rId63" Type="http://schemas.openxmlformats.org/officeDocument/2006/relationships/hyperlink" Target="https://www.cms.gov/files/document/payment-year-2020-ma-radv-audit-methods-instructions.pdf" TargetMode="External"/><Relationship Id="rId84" Type="http://schemas.openxmlformats.org/officeDocument/2006/relationships/hyperlink" Target="https://abacusinsights.com/solutions/stars-performance/" TargetMode="External"/><Relationship Id="rId138" Type="http://schemas.openxmlformats.org/officeDocument/2006/relationships/hyperlink" Target="https://abacusinsights.com/solutions/payment-integrity/" TargetMode="External"/><Relationship Id="rId159" Type="http://schemas.openxmlformats.org/officeDocument/2006/relationships/hyperlink" Target="https://abacusinsights.com/solutions/hedis-accelerator/" TargetMode="External"/><Relationship Id="rId170" Type="http://schemas.openxmlformats.org/officeDocument/2006/relationships/hyperlink" Target="https://abacusinsights.com/solutions-platform/" TargetMode="External"/><Relationship Id="rId191" Type="http://schemas.openxmlformats.org/officeDocument/2006/relationships/hyperlink" Target="https://abacusinsights.com/trust-and-security/" TargetMode="External"/><Relationship Id="rId205" Type="http://schemas.openxmlformats.org/officeDocument/2006/relationships/hyperlink" Target="https://arxiv.org/abs/2507.22943" TargetMode="External"/><Relationship Id="rId226" Type="http://schemas.openxmlformats.org/officeDocument/2006/relationships/hyperlink" Target="https://www.businesswire.com/news/home/20260323793295/en/Abacus-Insights-and-CoverSelf-Partner-to-Strengthen-Payment-Integrity-for-U.S.-Health-Plans" TargetMode="External"/><Relationship Id="rId247" Type="http://schemas.openxmlformats.org/officeDocument/2006/relationships/hyperlink" Target="https://abacusinsights.com/wp-content/uploads/2025/09/CMS_Interoperability_Prdct_Sheet_25-03-09F.pdf" TargetMode="External"/><Relationship Id="rId107" Type="http://schemas.openxmlformats.org/officeDocument/2006/relationships/hyperlink" Target="https://www.cms.gov/marketplace/private-health-insurance/medical-loss-ratio" TargetMode="External"/><Relationship Id="rId11" Type="http://schemas.openxmlformats.org/officeDocument/2006/relationships/hyperlink" Target="https://abacusinsights.com/solutions/risk-adjustment/" TargetMode="External"/><Relationship Id="rId32" Type="http://schemas.openxmlformats.org/officeDocument/2006/relationships/hyperlink" Target="https://www.cms.gov/newsroom/fact-sheets/cms-interoperability-prior-authorization-final-rule-cms-0057-f" TargetMode="External"/><Relationship Id="rId53" Type="http://schemas.openxmlformats.org/officeDocument/2006/relationships/hyperlink" Target="https://abacusinsights.com/solutions/hedis-accelerator/" TargetMode="External"/><Relationship Id="rId74" Type="http://schemas.openxmlformats.org/officeDocument/2006/relationships/hyperlink" Target="https://abacusinsights.com/wp-content/uploads/2021/07/Abacus-Insights-Overview-Slick_Aug-update-vF.pdf" TargetMode="External"/><Relationship Id="rId128" Type="http://schemas.openxmlformats.org/officeDocument/2006/relationships/hyperlink" Target="https://www.sciencedirect.com/science/article/pii/S0933365724003038" TargetMode="External"/><Relationship Id="rId149" Type="http://schemas.openxmlformats.org/officeDocument/2006/relationships/hyperlink" Target="https://abacusinsights.com/solutions/payment-integrity/" TargetMode="External"/><Relationship Id="rId5" Type="http://schemas.openxmlformats.org/officeDocument/2006/relationships/hyperlink" Target="https://abacusinsights.com/solutions/" TargetMode="External"/><Relationship Id="rId95" Type="http://schemas.openxmlformats.org/officeDocument/2006/relationships/hyperlink" Target="https://abacusinsights.com/solutions/cms-interoperability/" TargetMode="External"/><Relationship Id="rId160" Type="http://schemas.openxmlformats.org/officeDocument/2006/relationships/hyperlink" Target="https://abacusinsights.com/solutions/hedis-accelerator/" TargetMode="External"/><Relationship Id="rId181" Type="http://schemas.openxmlformats.org/officeDocument/2006/relationships/hyperlink" Target="https://abacusinsights.com/solutions/stars-performance/" TargetMode="External"/><Relationship Id="rId216" Type="http://schemas.openxmlformats.org/officeDocument/2006/relationships/hyperlink" Target="https://abacusinsights.com/wp-content/uploads/2021/07/Abacus-Insights-Overview-Slick_Aug-update-vF.pdf" TargetMode="External"/><Relationship Id="rId237" Type="http://schemas.openxmlformats.org/officeDocument/2006/relationships/hyperlink" Target="https://abacusinsights.com/abacus-insights-partners-with-blue-cross-blue-shield-of-massachusetts-to-accelerate-healthcare-data-transformation/" TargetMode="External"/><Relationship Id="rId22" Type="http://schemas.openxmlformats.org/officeDocument/2006/relationships/hyperlink" Target="https://abacusinsights.com/solutions/hedis-accelerator/" TargetMode="External"/><Relationship Id="rId43" Type="http://schemas.openxmlformats.org/officeDocument/2006/relationships/hyperlink" Target="https://abacusinsights.com/solutions/payment-integrity/" TargetMode="External"/><Relationship Id="rId64" Type="http://schemas.openxmlformats.org/officeDocument/2006/relationships/hyperlink" Target="https://abacusinsights.com/solutions-platform/" TargetMode="External"/><Relationship Id="rId118" Type="http://schemas.openxmlformats.org/officeDocument/2006/relationships/hyperlink" Target="https://abacusinsights.com/wp-content/uploads/2021/07/Abacus-Insights-Overview-Slick_Aug-update-vF.pdf" TargetMode="External"/><Relationship Id="rId139" Type="http://schemas.openxmlformats.org/officeDocument/2006/relationships/hyperlink" Target="https://abacusinsights.com/solutions/payment-integrity/" TargetMode="External"/><Relationship Id="rId85" Type="http://schemas.openxmlformats.org/officeDocument/2006/relationships/hyperlink" Target="https://abacusinsights.com/solutions/stars-performance/" TargetMode="External"/><Relationship Id="rId150" Type="http://schemas.openxmlformats.org/officeDocument/2006/relationships/hyperlink" Target="https://fluidproject.atlassian.net/wiki/spaces/fluid/pages/11523191/User%2BTesting%2Bof%2BSonified%2BPie%2BChart%2BData%2BFloe%2BChart%2BAuthoring%2BTool" TargetMode="External"/><Relationship Id="rId171" Type="http://schemas.openxmlformats.org/officeDocument/2006/relationships/hyperlink" Target="https://abacusinsights.com/solutions-platform/" TargetMode="External"/><Relationship Id="rId192" Type="http://schemas.openxmlformats.org/officeDocument/2006/relationships/hyperlink" Target="https://abacusinsights.com/trust-and-security/" TargetMode="External"/><Relationship Id="rId206" Type="http://schemas.openxmlformats.org/officeDocument/2006/relationships/hyperlink" Target="https://www.cms.gov/files/document/payment-year-2020-ma-radv-audit-methods-instructions.pdf" TargetMode="External"/><Relationship Id="rId227" Type="http://schemas.openxmlformats.org/officeDocument/2006/relationships/hyperlink" Target="https://www.businesswire.com/news/home/20260323793295/en/Abacus-Insights-and-CoverSelf-Partner-to-Strengthen-Payment-Integrity-for-U.S.-Health-Plans" TargetMode="External"/><Relationship Id="rId248" Type="http://schemas.openxmlformats.org/officeDocument/2006/relationships/hyperlink" Target="https://abacusinsights.com/wp-content/uploads/2025/09/CMS_Interoperability_Prdct_Sheet_25-03-09F.pdf" TargetMode="External"/><Relationship Id="rId12" Type="http://schemas.openxmlformats.org/officeDocument/2006/relationships/hyperlink" Target="https://abacusinsights.com/solutions-platform/" TargetMode="External"/><Relationship Id="rId33" Type="http://schemas.openxmlformats.org/officeDocument/2006/relationships/hyperlink" Target="https://arxiv.org/abs/2507.22943" TargetMode="External"/><Relationship Id="rId108" Type="http://schemas.openxmlformats.org/officeDocument/2006/relationships/hyperlink" Target="https://www.businesswire.com/news/home/20230509005210/en/Abacus-Insights-Enables-Health-Plans-to-Track-Total-Cost-of-Care-Throughout-the-Claims-Process" TargetMode="External"/><Relationship Id="rId129" Type="http://schemas.openxmlformats.org/officeDocument/2006/relationships/hyperlink" Target="https://abacusinsights.com/abacus-insights-partners-with-blue-cross-blue-shield-of-massachusetts-to-accelerate-healthcare-data-transformation/" TargetMode="External"/><Relationship Id="rId54" Type="http://schemas.openxmlformats.org/officeDocument/2006/relationships/hyperlink" Target="https://abacusinsights.com/solutions/hedis-accelerator/" TargetMode="External"/><Relationship Id="rId75" Type="http://schemas.openxmlformats.org/officeDocument/2006/relationships/hyperlink" Target="https://abacusinsights.com/solutions/clinical-data-solution/" TargetMode="External"/><Relationship Id="rId96" Type="http://schemas.openxmlformats.org/officeDocument/2006/relationships/hyperlink" Target="https://www.cms.gov/newsroom/fact-sheets/cms-interoperability-prior-authorization-final-rule-cms-0057-f" TargetMode="External"/><Relationship Id="rId140" Type="http://schemas.openxmlformats.org/officeDocument/2006/relationships/hyperlink" Target="https://abacusinsights.com/solutions/payment-integrity/" TargetMode="External"/><Relationship Id="rId161" Type="http://schemas.openxmlformats.org/officeDocument/2006/relationships/hyperlink" Target="https://abacusinsights.com/solutions/hedis-accelerator/" TargetMode="External"/><Relationship Id="rId182" Type="http://schemas.openxmlformats.org/officeDocument/2006/relationships/hyperlink" Target="https://abacusinsights.com/solutions/cms-interoperability/" TargetMode="External"/><Relationship Id="rId217" Type="http://schemas.openxmlformats.org/officeDocument/2006/relationships/hyperlink" Target="https://abacusinsights.com/wp-content/uploads/2021/07/Abacus-Insights-Overview-Slick_Aug-update-vF.pdf" TargetMode="External"/><Relationship Id="rId6" Type="http://schemas.openxmlformats.org/officeDocument/2006/relationships/hyperlink" Target="https://abacusinsights.com/solutions/payment-integrity/" TargetMode="External"/><Relationship Id="rId238" Type="http://schemas.openxmlformats.org/officeDocument/2006/relationships/hyperlink" Target="https://abacusinsights.com/abacus-insights-partners-with-blue-cross-blue-shield-of-massachusetts-to-accelerate-healthcare-data-transformation/" TargetMode="External"/><Relationship Id="rId23" Type="http://schemas.openxmlformats.org/officeDocument/2006/relationships/hyperlink" Target="https://abacusinsights.com/solutions/risk-adjustment/" TargetMode="External"/><Relationship Id="rId119" Type="http://schemas.openxmlformats.org/officeDocument/2006/relationships/hyperlink" Target="https://abacusinsights.com/solutions/payment-integrity/" TargetMode="External"/><Relationship Id="rId44" Type="http://schemas.openxmlformats.org/officeDocument/2006/relationships/hyperlink" Target="https://abacusinsights.com/trust-and-security/" TargetMode="External"/><Relationship Id="rId65" Type="http://schemas.openxmlformats.org/officeDocument/2006/relationships/hyperlink" Target="https://abacusinsights.com/solutions-platform/" TargetMode="External"/><Relationship Id="rId86" Type="http://schemas.openxmlformats.org/officeDocument/2006/relationships/hyperlink" Target="https://www.cms.gov/newsroom/fact-sheets/cms-interoperability-prior-authorization-final-rule-cms-0057-f" TargetMode="External"/><Relationship Id="rId130" Type="http://schemas.openxmlformats.org/officeDocument/2006/relationships/hyperlink" Target="https://abacusinsights.com/solutions/" TargetMode="External"/><Relationship Id="rId151" Type="http://schemas.openxmlformats.org/officeDocument/2006/relationships/hyperlink" Target="https://fluidproject.atlassian.net/wiki/spaces/fluid/pages/11523191/User%2BTesting%2Bof%2BSonified%2BPie%2BChart%2BData%2BFloe%2BChart%2BAuthoring%2BTool" TargetMode="External"/><Relationship Id="rId172" Type="http://schemas.openxmlformats.org/officeDocument/2006/relationships/hyperlink" Target="https://abacusinsights.com/solutions-platform/" TargetMode="External"/><Relationship Id="rId193" Type="http://schemas.openxmlformats.org/officeDocument/2006/relationships/hyperlink" Target="https://abacusinsights.com/trust-and-security/" TargetMode="External"/><Relationship Id="rId207" Type="http://schemas.openxmlformats.org/officeDocument/2006/relationships/hyperlink" Target="https://www.cms.gov/files/document/payment-year-2020-ma-radv-audit-methods-instructions.pdf" TargetMode="External"/><Relationship Id="rId228" Type="http://schemas.openxmlformats.org/officeDocument/2006/relationships/hyperlink" Target="https://www.sciencedirect.com/science/article/pii/S0933365724003038" TargetMode="External"/><Relationship Id="rId249" Type="http://schemas.openxmlformats.org/officeDocument/2006/relationships/hyperlink" Target="https://www.cms.gov/marketplace/private-health-insurance/medical-loss-ratio" TargetMode="External"/><Relationship Id="rId13" Type="http://schemas.openxmlformats.org/officeDocument/2006/relationships/hyperlink" Target="https://abacusinsights.com/solutions/clinical-data-solution/" TargetMode="External"/><Relationship Id="rId109" Type="http://schemas.openxmlformats.org/officeDocument/2006/relationships/hyperlink" Target="https://www.businesswire.com/news/home/20230509005210/en/Abacus-Insights-Enables-Health-Plans-to-Track-Total-Cost-of-Care-Throughout-the-Claims-Process" TargetMode="External"/><Relationship Id="rId34" Type="http://schemas.openxmlformats.org/officeDocument/2006/relationships/hyperlink" Target="https://www.cms.gov/files/document/payment-year-2020-ma-radv-audit-methods-instructions.pdf" TargetMode="External"/><Relationship Id="rId55" Type="http://schemas.openxmlformats.org/officeDocument/2006/relationships/hyperlink" Target="https://abacusinsights.com/solutions/hedis-accelerator/" TargetMode="External"/><Relationship Id="rId76" Type="http://schemas.openxmlformats.org/officeDocument/2006/relationships/hyperlink" Target="https://abacusinsights.com/solutions/clinical-data-solution/" TargetMode="External"/><Relationship Id="rId97" Type="http://schemas.openxmlformats.org/officeDocument/2006/relationships/hyperlink" Target="https://abacusinsights.com/solutions/cms-interoperability/" TargetMode="External"/><Relationship Id="rId120" Type="http://schemas.openxmlformats.org/officeDocument/2006/relationships/hyperlink" Target="https://abacusinsights.com/trust-and-security/" TargetMode="External"/><Relationship Id="rId141" Type="http://schemas.openxmlformats.org/officeDocument/2006/relationships/hyperlink" Target="https://abacusinsights.com/solutions/payment-integrity/" TargetMode="External"/><Relationship Id="rId7" Type="http://schemas.openxmlformats.org/officeDocument/2006/relationships/hyperlink" Target="https://fluidproject.atlassian.net/wiki/spaces/fluid/pages/11523191/User%2BTesting%2Bof%2BSonified%2BPie%2BChart%2BData%2BFloe%2BChart%2BAuthoring%2BTool" TargetMode="External"/><Relationship Id="rId162" Type="http://schemas.openxmlformats.org/officeDocument/2006/relationships/hyperlink" Target="https://abacusinsights.com/solutions/hedis-accelerator/" TargetMode="External"/><Relationship Id="rId183" Type="http://schemas.openxmlformats.org/officeDocument/2006/relationships/hyperlink" Target="https://abacusinsights.com/solutions/cms-interoperability/" TargetMode="External"/><Relationship Id="rId218" Type="http://schemas.openxmlformats.org/officeDocument/2006/relationships/hyperlink" Target="https://abacusinsights.com/wp-content/uploads/2021/07/Abacus-Insights-Overview-Slick_Aug-update-vF.pdf" TargetMode="External"/><Relationship Id="rId239" Type="http://schemas.openxmlformats.org/officeDocument/2006/relationships/hyperlink" Target="https://abacusinsights.com/wp-content/uploads/2024/10/Abacus_Insights_ZS_Case_Study_Final.pdf" TargetMode="External"/><Relationship Id="rId250" Type="http://schemas.openxmlformats.org/officeDocument/2006/relationships/hyperlink" Target="https://www.cms.gov/marketplace/private-health-insurance/medical-loss-ratio" TargetMode="External"/><Relationship Id="rId24" Type="http://schemas.openxmlformats.org/officeDocument/2006/relationships/hyperlink" Target="https://abacusinsights.com/solutions/clinical-data-solution/" TargetMode="External"/><Relationship Id="rId45" Type="http://schemas.openxmlformats.org/officeDocument/2006/relationships/hyperlink" Target="https://abacusinsights.com/solutions/payment-integrity/" TargetMode="External"/><Relationship Id="rId66" Type="http://schemas.openxmlformats.org/officeDocument/2006/relationships/hyperlink" Target="https://abacusinsights.com/wp-content/uploads/2021/07/Abacus-Insights-Overview-Slick_Aug-update-vF.pdf" TargetMode="External"/><Relationship Id="rId87" Type="http://schemas.openxmlformats.org/officeDocument/2006/relationships/hyperlink" Target="https://abacusinsights.com/wp-content/uploads/2024/10/Abacus_Insights_ZS_Case_Study_Final.pdf" TargetMode="External"/><Relationship Id="rId110" Type="http://schemas.openxmlformats.org/officeDocument/2006/relationships/hyperlink" Target="https://www.businesswire.com/news/home/20230509005210/en/Abacus-Insights-Enables-Health-Plans-to-Track-Total-Cost-of-Care-Throughout-the-Claims-Process" TargetMode="External"/><Relationship Id="rId131" Type="http://schemas.openxmlformats.org/officeDocument/2006/relationships/hyperlink" Target="https://abacusinsights.com/solutions/" TargetMode="External"/><Relationship Id="rId152" Type="http://schemas.openxmlformats.org/officeDocument/2006/relationships/hyperlink" Target="https://abacusinsights.com/solutions/hedis-accelerator/" TargetMode="External"/><Relationship Id="rId173" Type="http://schemas.openxmlformats.org/officeDocument/2006/relationships/hyperlink" Target="https://abacusinsights.com/solutions/clinical-data-solution/" TargetMode="External"/><Relationship Id="rId194" Type="http://schemas.openxmlformats.org/officeDocument/2006/relationships/hyperlink" Target="https://www.cms.gov/newsroom/fact-sheets/cms-interoperability-prior-authorization-final-rule-cms-0057-f" TargetMode="External"/><Relationship Id="rId208" Type="http://schemas.openxmlformats.org/officeDocument/2006/relationships/hyperlink" Target="https://www.cms.gov/files/document/payment-year-2020-ma-radv-audit-methods-instructions.pdf" TargetMode="External"/><Relationship Id="rId229" Type="http://schemas.openxmlformats.org/officeDocument/2006/relationships/hyperlink" Target="https://www.sciencedirect.com/science/article/pii/S0933365724003038" TargetMode="External"/><Relationship Id="rId240" Type="http://schemas.openxmlformats.org/officeDocument/2006/relationships/hyperlink" Target="https://abacusinsights.com/wp-content/uploads/2024/10/Abacus_Insights_ZS_Case_Study_Final.pdf" TargetMode="External"/><Relationship Id="rId14" Type="http://schemas.openxmlformats.org/officeDocument/2006/relationships/hyperlink" Target="https://abacusinsights.com/solutions/stars-performance/" TargetMode="External"/><Relationship Id="rId35" Type="http://schemas.openxmlformats.org/officeDocument/2006/relationships/hyperlink" Target="https://www.gao.gov/products/gao-24-107487" TargetMode="External"/><Relationship Id="rId56" Type="http://schemas.openxmlformats.org/officeDocument/2006/relationships/hyperlink" Target="https://abacusinsights.com/solutions/risk-adjustment/" TargetMode="External"/><Relationship Id="rId77" Type="http://schemas.openxmlformats.org/officeDocument/2006/relationships/hyperlink" Target="https://abacusinsights.com/solutions/clinical-data-solution/" TargetMode="External"/><Relationship Id="rId100" Type="http://schemas.openxmlformats.org/officeDocument/2006/relationships/hyperlink" Target="https://www.cms.gov/newsroom/fact-sheets/cms-interoperability-prior-authorization-final-rule-cms-0057-f" TargetMode="External"/><Relationship Id="rId8" Type="http://schemas.openxmlformats.org/officeDocument/2006/relationships/hyperlink" Target="https://abacusinsights.com/solutions/" TargetMode="External"/><Relationship Id="rId98" Type="http://schemas.openxmlformats.org/officeDocument/2006/relationships/hyperlink" Target="https://abacusinsights.com/wp-content/uploads/2025/09/CMS_Interoperability_Prdct_Sheet_25-03-09F.pdf" TargetMode="External"/><Relationship Id="rId121" Type="http://schemas.openxmlformats.org/officeDocument/2006/relationships/hyperlink" Target="https://www.cms.gov/newsroom/fact-sheets/cms-interoperability-prior-authorization-final-rule-cms-0057-f" TargetMode="External"/><Relationship Id="rId142" Type="http://schemas.openxmlformats.org/officeDocument/2006/relationships/hyperlink" Target="https://abacusinsights.com/solutions/payment-integrity/" TargetMode="External"/><Relationship Id="rId163" Type="http://schemas.openxmlformats.org/officeDocument/2006/relationships/hyperlink" Target="https://abacusinsights.com/solutions/risk-adjustment/" TargetMode="External"/><Relationship Id="rId184" Type="http://schemas.openxmlformats.org/officeDocument/2006/relationships/hyperlink" Target="https://abacusinsights.com/solutions/cms-interoperability/" TargetMode="External"/><Relationship Id="rId219" Type="http://schemas.openxmlformats.org/officeDocument/2006/relationships/hyperlink" Target="https://abacusinsights.com/wp-content/uploads/2021/07/Abacus-Insights-Overview-Slick_Aug-update-vF.pdf" TargetMode="External"/><Relationship Id="rId230" Type="http://schemas.openxmlformats.org/officeDocument/2006/relationships/hyperlink" Target="https://www.sciencedirect.com/science/article/pii/S0933365724003038" TargetMode="External"/><Relationship Id="rId251" Type="http://schemas.openxmlformats.org/officeDocument/2006/relationships/hyperlink" Target="https://www.businesswire.com/news/home/20230509005210/en/Abacus-Insights-Enables-Health-Plans-to-Track-Total-Cost-of-Care-Throughout-the-Claims-Process" TargetMode="External"/><Relationship Id="rId25" Type="http://schemas.openxmlformats.org/officeDocument/2006/relationships/hyperlink" Target="https://abacusinsights.com/solutions/cost-of-care-management/" TargetMode="External"/><Relationship Id="rId46" Type="http://schemas.openxmlformats.org/officeDocument/2006/relationships/hyperlink" Target="https://www.sciencedirect.com/science/article/pii/S0933365724003038" TargetMode="External"/><Relationship Id="rId67" Type="http://schemas.openxmlformats.org/officeDocument/2006/relationships/hyperlink" Target="https://abacusinsights.com/wp-content/uploads/2021/07/Abacus-Insights-Overview-Slick_Aug-update-vF.pdf" TargetMode="External"/><Relationship Id="rId88" Type="http://schemas.openxmlformats.org/officeDocument/2006/relationships/hyperlink" Target="https://abacusinsights.com/solutions/cost-of-care-management/" TargetMode="External"/><Relationship Id="rId111" Type="http://schemas.openxmlformats.org/officeDocument/2006/relationships/hyperlink" Target="https://abacusinsights.com/solutions/payment-integrity/" TargetMode="External"/><Relationship Id="rId132" Type="http://schemas.openxmlformats.org/officeDocument/2006/relationships/hyperlink" Target="https://abacusinsights.com/solutions/" TargetMode="External"/><Relationship Id="rId153" Type="http://schemas.openxmlformats.org/officeDocument/2006/relationships/hyperlink" Target="https://abacusinsights.com/solutions/hedis-accelerator/" TargetMode="External"/><Relationship Id="rId174" Type="http://schemas.openxmlformats.org/officeDocument/2006/relationships/hyperlink" Target="https://abacusinsights.com/solutions/clinical-data-solution/" TargetMode="External"/><Relationship Id="rId195" Type="http://schemas.openxmlformats.org/officeDocument/2006/relationships/hyperlink" Target="https://www.cms.gov/newsroom/fact-sheets/cms-interoperability-prior-authorization-final-rule-cms-0057-f" TargetMode="External"/><Relationship Id="rId209" Type="http://schemas.openxmlformats.org/officeDocument/2006/relationships/hyperlink" Target="https://www.cms.gov/files/document/payment-year-2020-ma-radv-audit-methods-instructions.pdf" TargetMode="External"/><Relationship Id="rId220" Type="http://schemas.openxmlformats.org/officeDocument/2006/relationships/hyperlink" Target="https://abacusinsights.com/wp-content/uploads/2021/07/Abacus-Insights-Overview-Slick_Aug-update-vF.pdf" TargetMode="External"/><Relationship Id="rId241" Type="http://schemas.openxmlformats.org/officeDocument/2006/relationships/hyperlink" Target="https://www.urban.org/sites/default/files/2024-07/Quality%20Bonus%20Payments%20in%20Medicare%20Advantage.pdf" TargetMode="External"/><Relationship Id="rId15" Type="http://schemas.openxmlformats.org/officeDocument/2006/relationships/hyperlink" Target="https://abacusinsights.com/solutions/cms-interoperability/" TargetMode="External"/><Relationship Id="rId36" Type="http://schemas.openxmlformats.org/officeDocument/2006/relationships/hyperlink" Target="https://abacusinsights.com/solutions/hedis-accelerator/" TargetMode="External"/><Relationship Id="rId57" Type="http://schemas.openxmlformats.org/officeDocument/2006/relationships/hyperlink" Target="https://www.cms.gov/files/document/payment-year-2020-ma-radv-audit-methods-instructions.pdf" TargetMode="External"/><Relationship Id="rId78" Type="http://schemas.openxmlformats.org/officeDocument/2006/relationships/hyperlink" Target="https://abacusinsights.com/solutions/clinical-data-solution/" TargetMode="External"/><Relationship Id="rId99" Type="http://schemas.openxmlformats.org/officeDocument/2006/relationships/hyperlink" Target="https://www.cms.gov/newsroom/fact-sheets/cms-interoperability-prior-authorization-final-rule-cms-0057-f" TargetMode="External"/><Relationship Id="rId101" Type="http://schemas.openxmlformats.org/officeDocument/2006/relationships/hyperlink" Target="https://abacusinsights.com/wp-content/uploads/2025/09/CMS_Interoperability_Prdct_Sheet_25-03-09F.pdf" TargetMode="External"/><Relationship Id="rId122" Type="http://schemas.openxmlformats.org/officeDocument/2006/relationships/hyperlink" Target="https://abacusinsights.com/solutions/" TargetMode="External"/><Relationship Id="rId143" Type="http://schemas.openxmlformats.org/officeDocument/2006/relationships/hyperlink" Target="https://abacusinsights.com/solutions/payment-integrity/" TargetMode="External"/><Relationship Id="rId164" Type="http://schemas.openxmlformats.org/officeDocument/2006/relationships/hyperlink" Target="https://abacusinsights.com/solutions/risk-adjustment/" TargetMode="External"/><Relationship Id="rId185" Type="http://schemas.openxmlformats.org/officeDocument/2006/relationships/hyperlink" Target="https://abacusinsights.com/solutions/cms-interoperability/" TargetMode="External"/><Relationship Id="rId9" Type="http://schemas.openxmlformats.org/officeDocument/2006/relationships/hyperlink" Target="https://abacusinsights.com/solutions/payment-integrity/" TargetMode="External"/><Relationship Id="rId210" Type="http://schemas.openxmlformats.org/officeDocument/2006/relationships/hyperlink" Target="https://www.cms.gov/files/document/payment-year-2020-ma-radv-audit-methods-instructions.pdf" TargetMode="External"/><Relationship Id="rId26" Type="http://schemas.openxmlformats.org/officeDocument/2006/relationships/hyperlink" Target="https://abacusinsights.com/solutions/stars-performance/" TargetMode="External"/><Relationship Id="rId231" Type="http://schemas.openxmlformats.org/officeDocument/2006/relationships/hyperlink" Target="https://wpcdn.ncqa.org/www-prod/Special-Report-October-2025-Results-for-Measures-Leveraging-Electronic-Clinical-Data-for-HEDIS-1.pdf" TargetMode="External"/><Relationship Id="rId252" Type="http://schemas.openxmlformats.org/officeDocument/2006/relationships/hyperlink" Target="https://www.businesswire.com/news/home/20230509005210/en/Abacus-Insights-Enables-Health-Plans-to-Track-Total-Cost-of-Care-Throughout-the-Claims-Process" TargetMode="External"/><Relationship Id="rId47" Type="http://schemas.openxmlformats.org/officeDocument/2006/relationships/hyperlink" Target="https://abacusinsights.com/solutions/payment-integrity/" TargetMode="External"/><Relationship Id="rId68" Type="http://schemas.openxmlformats.org/officeDocument/2006/relationships/hyperlink" Target="https://abacusinsights.com/solutions/payment-integrity/" TargetMode="External"/><Relationship Id="rId89" Type="http://schemas.openxmlformats.org/officeDocument/2006/relationships/hyperlink" Target="https://www.urban.org/sites/default/files/2024-07/Quality%20Bonus%20Payments%20in%20Medicare%20Advantage.pdf" TargetMode="External"/><Relationship Id="rId112" Type="http://schemas.openxmlformats.org/officeDocument/2006/relationships/hyperlink" Target="https://abacusinsights.com/solutions/payment-integrity/" TargetMode="External"/><Relationship Id="rId133" Type="http://schemas.openxmlformats.org/officeDocument/2006/relationships/hyperlink" Target="https://abacusinsights.com/solutions/" TargetMode="External"/><Relationship Id="rId154" Type="http://schemas.openxmlformats.org/officeDocument/2006/relationships/hyperlink" Target="https://abacusinsights.com/solutions/hedis-accelerator/" TargetMode="External"/><Relationship Id="rId175" Type="http://schemas.openxmlformats.org/officeDocument/2006/relationships/hyperlink" Target="https://abacusinsights.com/solutions/clinical-data-solution/" TargetMode="External"/><Relationship Id="rId196" Type="http://schemas.openxmlformats.org/officeDocument/2006/relationships/hyperlink" Target="https://www.cms.gov/newsroom/fact-sheets/cms-interoperability-prior-authorization-final-rule-cms-0057-f" TargetMode="External"/><Relationship Id="rId200" Type="http://schemas.openxmlformats.org/officeDocument/2006/relationships/hyperlink" Target="https://www.cms.gov/newsroom/fact-sheets/cms-interoperability-prior-authorization-final-rule-cms-0057-f" TargetMode="External"/><Relationship Id="rId16" Type="http://schemas.openxmlformats.org/officeDocument/2006/relationships/hyperlink" Target="https://abacusinsights.com/solutions/cost-of-care-management/" TargetMode="External"/><Relationship Id="rId221" Type="http://schemas.openxmlformats.org/officeDocument/2006/relationships/hyperlink" Target="https://abacusinsights.com/wp-content/uploads/2021/07/Abacus-Insights-Overview-Slick_Aug-update-vF.pdf" TargetMode="External"/><Relationship Id="rId242" Type="http://schemas.openxmlformats.org/officeDocument/2006/relationships/hyperlink" Target="https://www.urban.org/sites/default/files/2024-07/Quality%20Bonus%20Payments%20in%20Medicare%20Advantage.pdf" TargetMode="External"/><Relationship Id="rId37" Type="http://schemas.openxmlformats.org/officeDocument/2006/relationships/hyperlink" Target="https://abacusinsights.com/wp-content/uploads/2021/07/Abacus-Insights-Overview-Slick_Aug-update-vF.pdf" TargetMode="External"/><Relationship Id="rId58" Type="http://schemas.openxmlformats.org/officeDocument/2006/relationships/hyperlink" Target="https://abacusinsights.com/solutions/risk-adjustment/" TargetMode="External"/><Relationship Id="rId79" Type="http://schemas.openxmlformats.org/officeDocument/2006/relationships/hyperlink" Target="https://abacusinsights.com/trust-and-security/" TargetMode="External"/><Relationship Id="rId102" Type="http://schemas.openxmlformats.org/officeDocument/2006/relationships/hyperlink" Target="https://www.cms.gov/newsroom/fact-sheets/cms-interoperability-prior-authorization-final-rule-cms-0057-f" TargetMode="External"/><Relationship Id="rId123" Type="http://schemas.openxmlformats.org/officeDocument/2006/relationships/hyperlink" Target="https://abacusinsights.com/wp-content/uploads/2021/07/Abacus-Insights-Overview-Slick_Aug-update-vF.pdf" TargetMode="External"/><Relationship Id="rId144" Type="http://schemas.openxmlformats.org/officeDocument/2006/relationships/hyperlink" Target="https://abacusinsights.com/solutions/payment-integrity/" TargetMode="External"/><Relationship Id="rId90" Type="http://schemas.openxmlformats.org/officeDocument/2006/relationships/hyperlink" Target="https://abacusinsights.com/solutions/stars-performance/" TargetMode="External"/><Relationship Id="rId165" Type="http://schemas.openxmlformats.org/officeDocument/2006/relationships/hyperlink" Target="https://abacusinsights.com/solutions/risk-adjustment/" TargetMode="External"/><Relationship Id="rId186" Type="http://schemas.openxmlformats.org/officeDocument/2006/relationships/hyperlink" Target="https://abacusinsights.com/solutions/cost-of-care-management/" TargetMode="External"/><Relationship Id="rId211" Type="http://schemas.openxmlformats.org/officeDocument/2006/relationships/hyperlink" Target="https://www.cms.gov/files/document/payment-year-2020-ma-radv-audit-methods-instructions.pdf" TargetMode="External"/><Relationship Id="rId232" Type="http://schemas.openxmlformats.org/officeDocument/2006/relationships/hyperlink" Target="https://wpcdn.ncqa.org/www-prod/Special-Report-October-2025-Results-for-Measures-Leveraging-Electronic-Clinical-Data-for-HEDIS-1.pdf" TargetMode="External"/><Relationship Id="rId253" Type="http://schemas.openxmlformats.org/officeDocument/2006/relationships/hyperlink" Target="https://www.businesswire.com/news/home/20230509005210/en/Abacus-Insights-Enables-Health-Plans-to-Track-Total-Cost-of-Care-Throughout-the-Claims-Process" TargetMode="External"/><Relationship Id="rId27" Type="http://schemas.openxmlformats.org/officeDocument/2006/relationships/hyperlink" Target="https://abacusinsights.com/trust-and-security/" TargetMode="External"/><Relationship Id="rId48" Type="http://schemas.openxmlformats.org/officeDocument/2006/relationships/hyperlink" Target="https://abacusinsights.com/solutions/hedis-accelerator/" TargetMode="External"/><Relationship Id="rId69" Type="http://schemas.openxmlformats.org/officeDocument/2006/relationships/hyperlink" Target="https://abacusinsights.com/wp-content/uploads/2021/07/Abacus-Insights-Overview-Slick_Aug-update-vF.pdf" TargetMode="External"/><Relationship Id="rId113" Type="http://schemas.openxmlformats.org/officeDocument/2006/relationships/hyperlink" Target="https://abacusinsights.com/solutions/payment-integrity/" TargetMode="External"/><Relationship Id="rId134" Type="http://schemas.openxmlformats.org/officeDocument/2006/relationships/hyperlink" Target="https://abacusinsights.com/solutions/" TargetMode="External"/><Relationship Id="rId80" Type="http://schemas.openxmlformats.org/officeDocument/2006/relationships/hyperlink" Target="https://abacusinsights.com/solutions/clinical-data-solution/" TargetMode="External"/><Relationship Id="rId155" Type="http://schemas.openxmlformats.org/officeDocument/2006/relationships/hyperlink" Target="https://abacusinsights.com/solutions/hedis-accelerator/" TargetMode="External"/><Relationship Id="rId176" Type="http://schemas.openxmlformats.org/officeDocument/2006/relationships/hyperlink" Target="https://abacusinsights.com/solutions/clinical-data-solution/" TargetMode="External"/><Relationship Id="rId197" Type="http://schemas.openxmlformats.org/officeDocument/2006/relationships/hyperlink" Target="https://www.cms.gov/newsroom/fact-sheets/cms-interoperability-prior-authorization-final-rule-cms-0057-f" TargetMode="External"/><Relationship Id="rId201" Type="http://schemas.openxmlformats.org/officeDocument/2006/relationships/hyperlink" Target="https://www.cms.gov/newsroom/fact-sheets/cms-interoperability-prior-authorization-final-rule-cms-0057-f" TargetMode="External"/><Relationship Id="rId222" Type="http://schemas.openxmlformats.org/officeDocument/2006/relationships/hyperlink" Target="https://abacusinsights.com/wp-content/uploads/2021/07/Abacus-Insights-Overview-Slick_Aug-update-vF.pdf" TargetMode="External"/><Relationship Id="rId243" Type="http://schemas.openxmlformats.org/officeDocument/2006/relationships/hyperlink" Target="https://www.urban.org/sites/default/files/2024-07/Quality%20Bonus%20Payments%20in%20Medicare%20Advantage.pdf" TargetMode="External"/><Relationship Id="rId17" Type="http://schemas.openxmlformats.org/officeDocument/2006/relationships/hyperlink" Target="https://abacusinsights.com/solutions/payment-integrity/" TargetMode="External"/><Relationship Id="rId38" Type="http://schemas.openxmlformats.org/officeDocument/2006/relationships/hyperlink" Target="https://www.cms.gov/newsroom/fact-sheets/cms-interoperability-prior-authorization-final-rule-cms-0057-f" TargetMode="External"/><Relationship Id="rId59" Type="http://schemas.openxmlformats.org/officeDocument/2006/relationships/hyperlink" Target="https://abacusinsights.com/solutions/risk-adjustment/" TargetMode="External"/><Relationship Id="rId103" Type="http://schemas.openxmlformats.org/officeDocument/2006/relationships/hyperlink" Target="https://abacusinsights.com/solutions/cost-of-care-management/" TargetMode="External"/><Relationship Id="rId124" Type="http://schemas.openxmlformats.org/officeDocument/2006/relationships/hyperlink" Target="https://www.cms.gov/newsroom/fact-sheets/cms-interoperability-prior-authorization-final-rule-cms-0057-f" TargetMode="External"/><Relationship Id="rId70" Type="http://schemas.openxmlformats.org/officeDocument/2006/relationships/hyperlink" Target="https://abacusinsights.com/abacus-insights-partners-with-blue-cross-blue-shield-of-massachusetts-to-accelerate-healthcare-data-transformation/" TargetMode="External"/><Relationship Id="rId91" Type="http://schemas.openxmlformats.org/officeDocument/2006/relationships/hyperlink" Target="https://abacusinsights.com/solutions/stars-performance/" TargetMode="External"/><Relationship Id="rId145" Type="http://schemas.openxmlformats.org/officeDocument/2006/relationships/hyperlink" Target="https://abacusinsights.com/solutions/payment-integrity/" TargetMode="External"/><Relationship Id="rId166" Type="http://schemas.openxmlformats.org/officeDocument/2006/relationships/hyperlink" Target="https://abacusinsights.com/solutions/risk-adjustment/" TargetMode="External"/><Relationship Id="rId187" Type="http://schemas.openxmlformats.org/officeDocument/2006/relationships/hyperlink" Target="https://abacusinsights.com/solutions/cost-of-care-management/" TargetMode="External"/><Relationship Id="rId1" Type="http://schemas.openxmlformats.org/officeDocument/2006/relationships/numbering" Target="numbering.xml"/><Relationship Id="rId212" Type="http://schemas.openxmlformats.org/officeDocument/2006/relationships/hyperlink" Target="https://www.gao.gov/products/gao-24-107487" TargetMode="External"/><Relationship Id="rId233" Type="http://schemas.openxmlformats.org/officeDocument/2006/relationships/hyperlink" Target="https://wpcdn.ncqa.org/www-prod/Special-Report-October-2025-Results-for-Measures-Leveraging-Electronic-Clinical-Data-for-HEDIS-1.pdf" TargetMode="External"/><Relationship Id="rId254" Type="http://schemas.openxmlformats.org/officeDocument/2006/relationships/hyperlink" Target="https://www.cms.gov/newsroom/fact-sheets/fiscal-year-2025-improper-payments-fact-sheet" TargetMode="External"/><Relationship Id="rId28" Type="http://schemas.openxmlformats.org/officeDocument/2006/relationships/hyperlink" Target="https://abacusinsights.com/solutions/" TargetMode="External"/><Relationship Id="rId49" Type="http://schemas.openxmlformats.org/officeDocument/2006/relationships/hyperlink" Target="https://abacusinsights.com/solutions/hedis-accelerator/" TargetMode="External"/><Relationship Id="rId114" Type="http://schemas.openxmlformats.org/officeDocument/2006/relationships/hyperlink" Target="https://abacusinsights.com/solutions/hedis-accelerator/" TargetMode="External"/><Relationship Id="rId60" Type="http://schemas.openxmlformats.org/officeDocument/2006/relationships/hyperlink" Target="https://www.cms.gov/files/document/payment-year-2020-ma-radv-audit-methods-instructions.pdf" TargetMode="External"/><Relationship Id="rId81" Type="http://schemas.openxmlformats.org/officeDocument/2006/relationships/hyperlink" Target="https://abacusinsights.com/wp-content/uploads/2021/07/Abacus-Insights-Overview-Slick_Aug-update-vF.pdf" TargetMode="External"/><Relationship Id="rId135" Type="http://schemas.openxmlformats.org/officeDocument/2006/relationships/hyperlink" Target="https://abacusinsights.com/solutions/payment-integrity/" TargetMode="External"/><Relationship Id="rId156" Type="http://schemas.openxmlformats.org/officeDocument/2006/relationships/hyperlink" Target="https://abacusinsights.com/solutions/hedis-accelerator/" TargetMode="External"/><Relationship Id="rId177" Type="http://schemas.openxmlformats.org/officeDocument/2006/relationships/hyperlink" Target="https://abacusinsights.com/solutions/stars-performance/" TargetMode="External"/><Relationship Id="rId198" Type="http://schemas.openxmlformats.org/officeDocument/2006/relationships/hyperlink" Target="https://www.cms.gov/newsroom/fact-sheets/cms-interoperability-prior-authorization-final-rule-cms-0057-f" TargetMode="External"/><Relationship Id="rId202" Type="http://schemas.openxmlformats.org/officeDocument/2006/relationships/hyperlink" Target="https://www.cms.gov/newsroom/fact-sheets/cms-interoperability-prior-authorization-final-rule-cms-0057-f" TargetMode="External"/><Relationship Id="rId223" Type="http://schemas.openxmlformats.org/officeDocument/2006/relationships/hyperlink" Target="https://abacusinsights.com/wp-content/uploads/2021/07/Abacus-Insights-Overview-Slick_Aug-update-vF.pdf" TargetMode="External"/><Relationship Id="rId244" Type="http://schemas.openxmlformats.org/officeDocument/2006/relationships/hyperlink" Target="https://www.cms.gov/newsroom/fact-sheets/contract-year-2027-medicare-advantage-part-d-final-rule" TargetMode="External"/><Relationship Id="rId18" Type="http://schemas.openxmlformats.org/officeDocument/2006/relationships/hyperlink" Target="https://abacusinsights.com/solutions/" TargetMode="External"/><Relationship Id="rId39" Type="http://schemas.openxmlformats.org/officeDocument/2006/relationships/hyperlink" Target="https://abacusinsights.com/healthcare-data-usability-leader-abacus-insights-charts-its-growth-with-appointment-of-new-chief-operating-officer/" TargetMode="External"/><Relationship Id="rId50" Type="http://schemas.openxmlformats.org/officeDocument/2006/relationships/hyperlink" Target="https://abacusinsights.com/solutions/hedis-accelerator/" TargetMode="External"/><Relationship Id="rId104" Type="http://schemas.openxmlformats.org/officeDocument/2006/relationships/hyperlink" Target="https://abacusinsights.com/solutions/cost-of-care-management/" TargetMode="External"/><Relationship Id="rId125" Type="http://schemas.openxmlformats.org/officeDocument/2006/relationships/hyperlink" Target="https://www.cms.gov/newsroom/fact-sheets/fiscal-year-2025-improper-payments-fact-sheet" TargetMode="External"/><Relationship Id="rId146" Type="http://schemas.openxmlformats.org/officeDocument/2006/relationships/hyperlink" Target="https://abacusinsights.com/solutions/payment-integrity/" TargetMode="External"/><Relationship Id="rId167" Type="http://schemas.openxmlformats.org/officeDocument/2006/relationships/hyperlink" Target="https://abacusinsights.com/solutions/risk-adjustment/" TargetMode="External"/><Relationship Id="rId188" Type="http://schemas.openxmlformats.org/officeDocument/2006/relationships/hyperlink" Target="https://abacusinsights.com/solutions/cost-of-care-management/" TargetMode="External"/><Relationship Id="rId71" Type="http://schemas.openxmlformats.org/officeDocument/2006/relationships/hyperlink" Target="https://abacusinsights.com/trust-and-security/" TargetMode="External"/><Relationship Id="rId92" Type="http://schemas.openxmlformats.org/officeDocument/2006/relationships/hyperlink" Target="https://abacusinsights.com/solutions/stars-performance/" TargetMode="External"/><Relationship Id="rId213" Type="http://schemas.openxmlformats.org/officeDocument/2006/relationships/hyperlink" Target="https://www.gao.gov/products/gao-24-107487" TargetMode="External"/><Relationship Id="rId234" Type="http://schemas.openxmlformats.org/officeDocument/2006/relationships/hyperlink" Target="https://www.iqvia.com/solutions/real-world-evidence/iqvia-nlp-platform/improve-accuracy-of-risk-adjustment-and-speed-medical-record" TargetMode="External"/><Relationship Id="rId2" Type="http://schemas.openxmlformats.org/officeDocument/2006/relationships/styles" Target="styles.xml"/><Relationship Id="rId29" Type="http://schemas.openxmlformats.org/officeDocument/2006/relationships/hyperlink" Target="https://abacusinsights.com/solutions/payment-integrity/" TargetMode="External"/><Relationship Id="rId255" Type="http://schemas.openxmlformats.org/officeDocument/2006/relationships/hyperlink" Target="https://www.cms.gov/newsroom/fact-sheets/fiscal-year-2025-improper-payments-fact-sheet" TargetMode="External"/><Relationship Id="rId40" Type="http://schemas.openxmlformats.org/officeDocument/2006/relationships/hyperlink" Target="https://abacusinsights.com/solutions/payment-integrity/" TargetMode="External"/><Relationship Id="rId115" Type="http://schemas.openxmlformats.org/officeDocument/2006/relationships/hyperlink" Target="https://abacusinsights.com/solutions/hedis-accelerator/" TargetMode="External"/><Relationship Id="rId136" Type="http://schemas.openxmlformats.org/officeDocument/2006/relationships/hyperlink" Target="https://abacusinsights.com/solutions/payment-integrity/" TargetMode="External"/><Relationship Id="rId157" Type="http://schemas.openxmlformats.org/officeDocument/2006/relationships/hyperlink" Target="https://abacusinsights.com/solutions/hedis-accelerator/" TargetMode="External"/><Relationship Id="rId178" Type="http://schemas.openxmlformats.org/officeDocument/2006/relationships/hyperlink" Target="https://abacusinsights.com/solutions/stars-performance/" TargetMode="External"/><Relationship Id="rId61" Type="http://schemas.openxmlformats.org/officeDocument/2006/relationships/hyperlink" Target="https://arxiv.org/abs/2507.22943" TargetMode="External"/><Relationship Id="rId82" Type="http://schemas.openxmlformats.org/officeDocument/2006/relationships/hyperlink" Target="https://abacusinsights.com/wp-content/uploads/2021/07/Abacus-Insights-Overview-Slick_Aug-update-vF.pdf" TargetMode="External"/><Relationship Id="rId199" Type="http://schemas.openxmlformats.org/officeDocument/2006/relationships/hyperlink" Target="https://www.cms.gov/newsroom/fact-sheets/cms-interoperability-prior-authorization-final-rule-cms-0057-f" TargetMode="External"/><Relationship Id="rId203" Type="http://schemas.openxmlformats.org/officeDocument/2006/relationships/hyperlink" Target="https://arxiv.org/abs/2507.22943" TargetMode="External"/><Relationship Id="rId19" Type="http://schemas.openxmlformats.org/officeDocument/2006/relationships/hyperlink" Target="https://abacusinsights.com/solutions-platform/" TargetMode="External"/><Relationship Id="rId224" Type="http://schemas.openxmlformats.org/officeDocument/2006/relationships/hyperlink" Target="https://abacusinsights.com/healthcare-data-usability-leader-abacus-insights-charts-its-growth-with-appointment-of-new-chief-operating-officer/" TargetMode="External"/><Relationship Id="rId245" Type="http://schemas.openxmlformats.org/officeDocument/2006/relationships/hyperlink" Target="https://www.cms.gov/newsroom/fact-sheets/contract-year-2027-medicare-advantage-part-d-final-rule" TargetMode="External"/><Relationship Id="rId30" Type="http://schemas.openxmlformats.org/officeDocument/2006/relationships/hyperlink" Target="https://abacusinsights.com/solutions/payment-integrity/" TargetMode="External"/><Relationship Id="rId105" Type="http://schemas.openxmlformats.org/officeDocument/2006/relationships/hyperlink" Target="https://abacusinsights.com/solutions/cost-of-care-management/" TargetMode="External"/><Relationship Id="rId126" Type="http://schemas.openxmlformats.org/officeDocument/2006/relationships/hyperlink" Target="https://wpcdn.ncqa.org/www-prod/Special-Report-October-2025-Results-for-Measures-Leveraging-Electronic-Clinical-Data-for-HEDIS-1.pdf" TargetMode="External"/><Relationship Id="rId147" Type="http://schemas.openxmlformats.org/officeDocument/2006/relationships/hyperlink" Target="https://abacusinsights.com/solutions/payment-integrity/" TargetMode="External"/><Relationship Id="rId168" Type="http://schemas.openxmlformats.org/officeDocument/2006/relationships/hyperlink" Target="https://abacusinsights.com/solutions/risk-adjustment/" TargetMode="External"/><Relationship Id="rId51" Type="http://schemas.openxmlformats.org/officeDocument/2006/relationships/hyperlink" Target="https://abacusinsights.com/solutions/hedis-accelerator/" TargetMode="External"/><Relationship Id="rId72" Type="http://schemas.openxmlformats.org/officeDocument/2006/relationships/hyperlink" Target="https://abacusinsights.com/wp-content/uploads/2021/07/Abacus-Insights-Overview-Slick_Aug-update-vF.pdf" TargetMode="External"/><Relationship Id="rId93" Type="http://schemas.openxmlformats.org/officeDocument/2006/relationships/hyperlink" Target="https://www.cms.gov/newsroom/fact-sheets/contract-year-2027-medicare-advantage-part-d-final-rule" TargetMode="External"/><Relationship Id="rId189" Type="http://schemas.openxmlformats.org/officeDocument/2006/relationships/hyperlink" Target="https://abacusinsights.com/solutions/cost-of-care-management/" TargetMode="External"/><Relationship Id="rId3" Type="http://schemas.openxmlformats.org/officeDocument/2006/relationships/settings" Target="settings.xml"/><Relationship Id="rId214" Type="http://schemas.openxmlformats.org/officeDocument/2006/relationships/hyperlink" Target="https://abacusinsights.com/wp-content/uploads/2021/07/Abacus-Insights-Overview-Slick_Aug-update-vF.pdf" TargetMode="External"/><Relationship Id="rId235" Type="http://schemas.openxmlformats.org/officeDocument/2006/relationships/hyperlink" Target="https://www.iqvia.com/solutions/real-world-evidence/iqvia-nlp-platform/improve-accuracy-of-risk-adjustment-and-speed-medical-record" TargetMode="External"/><Relationship Id="rId256" Type="http://schemas.openxmlformats.org/officeDocument/2006/relationships/fontTable" Target="fontTable.xml"/><Relationship Id="rId116" Type="http://schemas.openxmlformats.org/officeDocument/2006/relationships/hyperlink" Target="https://www.cms.gov/files/document/payment-year-2020-ma-radv-audit-methods-instructions.pdf" TargetMode="External"/><Relationship Id="rId137" Type="http://schemas.openxmlformats.org/officeDocument/2006/relationships/hyperlink" Target="https://abacusinsights.com/solutions/payment-integrity/" TargetMode="External"/><Relationship Id="rId158" Type="http://schemas.openxmlformats.org/officeDocument/2006/relationships/hyperlink" Target="https://abacusinsights.com/solutions/hedis-accelerator/" TargetMode="External"/><Relationship Id="rId20" Type="http://schemas.openxmlformats.org/officeDocument/2006/relationships/hyperlink" Target="https://abacusinsights.com/solutions/payment-integrity/" TargetMode="External"/><Relationship Id="rId41" Type="http://schemas.openxmlformats.org/officeDocument/2006/relationships/hyperlink" Target="https://abacusinsights.com/solutions/payment-integrity/" TargetMode="External"/><Relationship Id="rId62" Type="http://schemas.openxmlformats.org/officeDocument/2006/relationships/hyperlink" Target="https://www.iqvia.com/solutions/real-world-evidence/iqvia-nlp-platform/improve-accuracy-of-risk-adjustment-and-speed-medical-record" TargetMode="External"/><Relationship Id="rId83" Type="http://schemas.openxmlformats.org/officeDocument/2006/relationships/hyperlink" Target="https://abacusinsights.com/solutions/stars-performance/" TargetMode="External"/><Relationship Id="rId179" Type="http://schemas.openxmlformats.org/officeDocument/2006/relationships/hyperlink" Target="https://abacusinsights.com/solutions/stars-performance/" TargetMode="External"/><Relationship Id="rId190" Type="http://schemas.openxmlformats.org/officeDocument/2006/relationships/hyperlink" Target="https://abacusinsights.com/trust-and-security/" TargetMode="External"/><Relationship Id="rId204" Type="http://schemas.openxmlformats.org/officeDocument/2006/relationships/hyperlink" Target="https://arxiv.org/abs/2507.22943" TargetMode="External"/><Relationship Id="rId225" Type="http://schemas.openxmlformats.org/officeDocument/2006/relationships/hyperlink" Target="https://abacusinsights.com/healthcare-data-usability-leader-abacus-insights-charts-its-growth-with-appointment-of-new-chief-operating-officer/" TargetMode="External"/><Relationship Id="rId246" Type="http://schemas.openxmlformats.org/officeDocument/2006/relationships/hyperlink" Target="https://abacusinsights.com/wp-content/uploads/2025/09/CMS_Interoperability_Prdct_Sheet_25-03-09F.pdf" TargetMode="External"/><Relationship Id="rId106" Type="http://schemas.openxmlformats.org/officeDocument/2006/relationships/hyperlink" Target="https://abacusinsights.com/solutions/cost-of-care-management/" TargetMode="External"/><Relationship Id="rId127" Type="http://schemas.openxmlformats.org/officeDocument/2006/relationships/hyperlink" Target="https://www.urban.org/sites/default/files/2024-07/Quality%20Bonus%20Payments%20in%20Medicare%20Advantage.pdf" TargetMode="External"/><Relationship Id="rId10" Type="http://schemas.openxmlformats.org/officeDocument/2006/relationships/hyperlink" Target="https://abacusinsights.com/solutions/hedis-accelerator/" TargetMode="External"/><Relationship Id="rId31" Type="http://schemas.openxmlformats.org/officeDocument/2006/relationships/hyperlink" Target="https://abacusinsights.com/solutions/payment-integrity/" TargetMode="External"/><Relationship Id="rId52" Type="http://schemas.openxmlformats.org/officeDocument/2006/relationships/hyperlink" Target="https://wpcdn.ncqa.org/www-prod/Special-Report-October-2025-Results-for-Measures-Leveraging-Electronic-Clinical-Data-for-HEDIS-1.pdf" TargetMode="External"/><Relationship Id="rId73" Type="http://schemas.openxmlformats.org/officeDocument/2006/relationships/hyperlink" Target="https://abacusinsights.com/wp-content/uploads/2021/07/Abacus-Insights-Overview-Slick_Aug-update-vF.pdf" TargetMode="External"/><Relationship Id="rId94" Type="http://schemas.openxmlformats.org/officeDocument/2006/relationships/hyperlink" Target="https://www.cms.gov/newsroom/fact-sheets/cms-interoperability-prior-authorization-final-rule-cms-0057-f" TargetMode="External"/><Relationship Id="rId148" Type="http://schemas.openxmlformats.org/officeDocument/2006/relationships/hyperlink" Target="https://abacusinsights.com/solutions/payment-integrity/" TargetMode="External"/><Relationship Id="rId169" Type="http://schemas.openxmlformats.org/officeDocument/2006/relationships/hyperlink" Target="https://abacusinsights.com/solutions-platform/" TargetMode="External"/><Relationship Id="rId4" Type="http://schemas.openxmlformats.org/officeDocument/2006/relationships/webSettings" Target="webSettings.xml"/><Relationship Id="rId180" Type="http://schemas.openxmlformats.org/officeDocument/2006/relationships/hyperlink" Target="https://abacusinsights.com/solutions/stars-performance/" TargetMode="External"/><Relationship Id="rId215" Type="http://schemas.openxmlformats.org/officeDocument/2006/relationships/hyperlink" Target="https://abacusinsights.com/wp-content/uploads/2021/07/Abacus-Insights-Overview-Slick_Aug-update-vF.pdf" TargetMode="External"/><Relationship Id="rId236" Type="http://schemas.openxmlformats.org/officeDocument/2006/relationships/hyperlink" Target="https://abacusinsights.com/abacus-insights-partners-with-blue-cross-blue-shield-of-massachusetts-to-accelerate-healthcare-data-transformation/" TargetMode="External"/><Relationship Id="rId2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392ce23-bc81-457f-814c-fb94e2887c84}" enabled="1" method="Standard" siteId="{0819ed18-8d97-47bb-930b-ec1982f9aa76}"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7120</Words>
  <Characters>55611</Characters>
  <Application>Microsoft Office Word</Application>
  <DocSecurity>0</DocSecurity>
  <Lines>1112</Lines>
  <Paragraphs>318</Paragraphs>
  <ScaleCrop>false</ScaleCrop>
  <Company/>
  <LinksUpToDate>false</LinksUpToDate>
  <CharactersWithSpaces>62413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Koria</cp:lastModifiedBy>
  <cp:revision>2</cp:revision>
  <dcterms:created xsi:type="dcterms:W3CDTF">2026-04-09T07:55:00Z</dcterms:created>
  <dcterms:modified xsi:type="dcterms:W3CDTF">2026-04-09T08:01:00Z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