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18223C"/>
            <w:tcMar>
              <w:top w:w="260" w:type="dxa"/>
              <w:bottom w:w="260" w:type="dxa"/>
              <w:left w:w="260" w:type="dxa"/>
              <w:right w:w="260" w:type="dxa"/>
            </w:tcMar>
          </w:tcPr>
          <w:p>
            <w:pPr>
              <w:jc w:val="center"/>
            </w:pPr>
            <w:r>
              <w:rPr>
                <w:b/>
                <w:color w:val="5EA1FF"/>
                <w:sz w:val="20"/>
              </w:rPr>
              <w:t>UNIBRIDGE · WEB DEVELOPMENT PROJECT REPORT</w:t>
              <w:br/>
            </w:r>
            <w:r>
              <w:rPr>
                <w:b/>
                <w:color w:val="FFFFFF"/>
                <w:sz w:val="44"/>
              </w:rPr>
              <w:t>UniBridge Student Portal</w:t>
              <w:br/>
            </w:r>
            <w:r>
              <w:rPr>
                <w:color w:val="C8D7F0"/>
                <w:sz w:val="22"/>
              </w:rPr>
              <w:t>Modular University Admissions, Application Lifecycle Tracking &amp; Simulated Fee Payments</w:t>
            </w:r>
          </w:p>
        </w:tc>
      </w:tr>
    </w:tbl>
    <w:p/>
    <w:tbl>
      <w:tblPr>
        <w:tblW w:type="auto" w:w="0"/>
        <w:jc w:val="center"/>
        <w:tblLook w:firstColumn="1" w:firstRow="1" w:lastColumn="0" w:lastRow="0" w:noHBand="0" w:noVBand="1" w:val="04A0"/>
      </w:tblPr>
      <w:tblGrid>
        <w:gridCol w:w="4896"/>
        <w:gridCol w:w="4896"/>
      </w:tblGrid>
      <w:tr>
        <w:tc>
          <w:tcPr>
            <w:tcW w:type="dxa" w:w="4896"/>
            <w:shd w:fill="F0F4FA"/>
            <w:tcMar>
              <w:top w:w="60" w:type="dxa"/>
              <w:bottom w:w="60" w:type="dxa"/>
              <w:left w:w="100" w:type="dxa"/>
              <w:right w:w="100" w:type="dxa"/>
            </w:tcMar>
          </w:tcPr>
          <w:p>
            <w:r>
              <w:rPr>
                <w:b/>
                <w:color w:val="18223C"/>
                <w:sz w:val="19"/>
              </w:rPr>
              <w:t>Project Name</w:t>
            </w:r>
          </w:p>
        </w:tc>
        <w:tc>
          <w:tcPr>
            <w:tcW w:type="dxa" w:w="4896"/>
            <w:tcMar>
              <w:top w:w="60" w:type="dxa"/>
              <w:bottom w:w="60" w:type="dxa"/>
              <w:left w:w="100" w:type="dxa"/>
              <w:right w:w="100" w:type="dxa"/>
            </w:tcMar>
          </w:tcPr>
          <w:p>
            <w:r>
              <w:rPr>
                <w:color w:val="19233C"/>
                <w:sz w:val="19"/>
              </w:rPr>
              <w:t>UniBridge Student Onboarding &amp; Admissions Portal</w:t>
            </w:r>
          </w:p>
        </w:tc>
      </w:tr>
      <w:tr>
        <w:tc>
          <w:tcPr>
            <w:tcW w:type="dxa" w:w="4896"/>
            <w:shd w:fill="F0F4FA"/>
            <w:tcMar>
              <w:top w:w="60" w:type="dxa"/>
              <w:bottom w:w="60" w:type="dxa"/>
              <w:left w:w="100" w:type="dxa"/>
              <w:right w:w="100" w:type="dxa"/>
            </w:tcMar>
          </w:tcPr>
          <w:p>
            <w:r>
              <w:rPr>
                <w:b/>
                <w:color w:val="18223C"/>
                <w:sz w:val="19"/>
              </w:rPr>
              <w:t>GitHub Repository</w:t>
            </w:r>
          </w:p>
        </w:tc>
        <w:tc>
          <w:tcPr>
            <w:tcW w:type="dxa" w:w="4896"/>
            <w:tcMar>
              <w:top w:w="60" w:type="dxa"/>
              <w:bottom w:w="60" w:type="dxa"/>
              <w:left w:w="100" w:type="dxa"/>
              <w:right w:w="100" w:type="dxa"/>
            </w:tcMar>
          </w:tcPr>
          <w:p>
            <w:r>
              <w:rPr>
                <w:color w:val="2762EB"/>
                <w:sz w:val="19"/>
              </w:rPr>
              <w:t>https://github.com/KrishPatel-Comp/WD-Mini-Project.git</w:t>
            </w:r>
          </w:p>
        </w:tc>
      </w:tr>
      <w:tr>
        <w:tc>
          <w:tcPr>
            <w:tcW w:type="dxa" w:w="4896"/>
            <w:shd w:fill="F0F4FA"/>
            <w:tcMar>
              <w:top w:w="60" w:type="dxa"/>
              <w:bottom w:w="60" w:type="dxa"/>
              <w:left w:w="100" w:type="dxa"/>
              <w:right w:w="100" w:type="dxa"/>
            </w:tcMar>
          </w:tcPr>
          <w:p>
            <w:r>
              <w:rPr>
                <w:b/>
                <w:color w:val="18223C"/>
                <w:sz w:val="19"/>
              </w:rPr>
              <w:t>Commit ID</w:t>
            </w:r>
          </w:p>
        </w:tc>
        <w:tc>
          <w:tcPr>
            <w:tcW w:type="dxa" w:w="4896"/>
            <w:tcMar>
              <w:top w:w="60" w:type="dxa"/>
              <w:bottom w:w="60" w:type="dxa"/>
              <w:left w:w="100" w:type="dxa"/>
              <w:right w:w="100" w:type="dxa"/>
            </w:tcMar>
          </w:tcPr>
          <w:p>
            <w:r>
              <w:rPr>
                <w:color w:val="19233C"/>
                <w:sz w:val="19"/>
              </w:rPr>
              <w:t>41c6d53 (Branch: main) — Full UI Overhaul &amp; Module Integration</w:t>
            </w:r>
          </w:p>
        </w:tc>
      </w:tr>
      <w:tr>
        <w:tc>
          <w:tcPr>
            <w:tcW w:type="dxa" w:w="4896"/>
            <w:shd w:fill="F0F4FA"/>
            <w:tcMar>
              <w:top w:w="60" w:type="dxa"/>
              <w:bottom w:w="60" w:type="dxa"/>
              <w:left w:w="100" w:type="dxa"/>
              <w:right w:w="100" w:type="dxa"/>
            </w:tcMar>
          </w:tcPr>
          <w:p>
            <w:r>
              <w:rPr>
                <w:b/>
                <w:color w:val="18223C"/>
                <w:sz w:val="19"/>
              </w:rPr>
              <w:t>Tech Stack</w:t>
            </w:r>
          </w:p>
        </w:tc>
        <w:tc>
          <w:tcPr>
            <w:tcW w:type="dxa" w:w="4896"/>
            <w:tcMar>
              <w:top w:w="60" w:type="dxa"/>
              <w:bottom w:w="60" w:type="dxa"/>
              <w:left w:w="100" w:type="dxa"/>
              <w:right w:w="100" w:type="dxa"/>
            </w:tcMar>
          </w:tcPr>
          <w:p>
            <w:r>
              <w:rPr>
                <w:color w:val="19233C"/>
                <w:sz w:val="19"/>
              </w:rPr>
              <w:t>PHP 8.2 (Apache), MariaDB 11.4 / MySQL, Vanilla CSS 3 (EduAdmin System), JS ES Modules, Docker</w:t>
            </w:r>
          </w:p>
        </w:tc>
      </w:tr>
    </w:tbl>
    <w:p/>
    <w:p>
      <w:pPr>
        <w:spacing w:before="320" w:after="120"/>
      </w:pPr>
      <w:r>
        <w:rPr>
          <w:b/>
          <w:color w:val="18223C"/>
          <w:sz w:val="30"/>
        </w:rPr>
        <w:t>1. Executive Summary</w:t>
      </w:r>
    </w:p>
    <w:p>
      <w:pPr>
        <w:spacing w:after="80" w:line="283" w:lineRule="auto"/>
      </w:pPr>
      <w:r>
        <w:rPr>
          <w:color w:val="19233C"/>
          <w:sz w:val="20"/>
        </w:rPr>
        <w:t>UniBridge is a centralized, deployment-ready higher education student onboarding web application. Built for colleges and universities, the portal bridges the gap between student applicants, academic faculty, and bursar offices. During this engineering iteration, the entire platform underwent a comprehensive architectural upgrade: fixing UI overlapping issues across mobile and desktop breakpoints, implementing the modern EduAdmin theme, introducing end-to-end Application Lifecycle Tracking (Draft to Decision Timeline), and deploying a sandboxed multi-method Fee Payment &amp; Receipt System.</w:t>
      </w:r>
    </w:p>
    <w:p>
      <w:pPr>
        <w:spacing w:before="320" w:after="120"/>
      </w:pPr>
      <w:r>
        <w:rPr>
          <w:b/>
          <w:color w:val="18223C"/>
          <w:sz w:val="30"/>
        </w:rPr>
        <w:t>2. UI/UX Design System &amp; Anti-Overlap Engineering</w:t>
      </w:r>
    </w:p>
    <w:p>
      <w:pPr>
        <w:spacing w:after="80" w:line="283" w:lineRule="auto"/>
      </w:pPr>
      <w:r>
        <w:rPr>
          <w:color w:val="19233C"/>
          <w:sz w:val="20"/>
        </w:rPr>
        <w:t>Prior iterations exhibited component crowding and text truncation issues on mid-sized laptop and mobile viewports. The interface was re-architected with a curated Vanilla CSS design system that ensures crisp aesthetics, dynamic micro-animations, and fluid responsiveness without external framework bloat:</w:t>
      </w:r>
    </w:p>
    <w:p>
      <w:pPr>
        <w:pStyle w:val="ListBullet"/>
        <w:spacing w:after="60" w:line="276" w:lineRule="auto"/>
      </w:pPr>
      <w:r>
        <w:rPr>
          <w:b/>
          <w:color w:val="19233C"/>
          <w:sz w:val="20"/>
        </w:rPr>
        <w:t xml:space="preserve">EduAdmin Navy Visual Language: </w:t>
      </w:r>
      <w:r>
        <w:rPr>
          <w:color w:val="19233C"/>
          <w:sz w:val="20"/>
        </w:rPr>
        <w:t>Crafted with dark navy sidebars (#18223c), deep sapphire interactive states (#2762eb), and clean light canvas cards (#f0f4fa) with subtle drop shadows.</w:t>
      </w:r>
    </w:p>
    <w:p>
      <w:pPr>
        <w:pStyle w:val="ListBullet"/>
        <w:spacing w:after="60" w:line="276" w:lineRule="auto"/>
      </w:pPr>
      <w:r>
        <w:rPr>
          <w:b/>
          <w:color w:val="19233C"/>
          <w:sz w:val="20"/>
        </w:rPr>
        <w:t xml:space="preserve">Responsive Breakpoint Grid: </w:t>
      </w:r>
      <w:r>
        <w:rPr>
          <w:color w:val="19233C"/>
          <w:sz w:val="20"/>
        </w:rPr>
        <w:t>Custom CSS media queries at 1280px, 1024px, 992px, 768px, and 480px dynamically collapse 4-column course grids and 3-column widget rows to prevent layout breakage.</w:t>
      </w:r>
    </w:p>
    <w:p>
      <w:pPr>
        <w:pStyle w:val="ListBullet"/>
        <w:spacing w:after="60" w:line="276" w:lineRule="auto"/>
      </w:pPr>
      <w:r>
        <w:rPr>
          <w:b/>
          <w:color w:val="19233C"/>
          <w:sz w:val="20"/>
        </w:rPr>
        <w:t xml:space="preserve">Mobile Drawer Navigation: </w:t>
      </w:r>
      <w:r>
        <w:rPr>
          <w:color w:val="19233C"/>
          <w:sz w:val="20"/>
        </w:rPr>
        <w:t>Integrated a responsive hamburger navigation toggle with backdrop blur overlay, ensuring intuitive navigation on handheld touchscreens.</w:t>
      </w:r>
    </w:p>
    <w:p>
      <w:pPr>
        <w:pStyle w:val="ListBullet"/>
        <w:spacing w:after="60" w:line="276" w:lineRule="auto"/>
      </w:pPr>
      <w:r>
        <w:rPr>
          <w:b/>
          <w:color w:val="19233C"/>
          <w:sz w:val="20"/>
        </w:rPr>
        <w:t xml:space="preserve">Typography &amp; Aesthetics: </w:t>
      </w:r>
      <w:r>
        <w:rPr>
          <w:color w:val="19233C"/>
          <w:sz w:val="20"/>
        </w:rPr>
        <w:t>Imported Google Fonts Inter and Manrope for clean hierarchy, high legibility, and modern academic SaaS polish.</w:t>
      </w:r>
    </w:p>
    <w:p>
      <w:pPr>
        <w:spacing w:before="320" w:after="120"/>
      </w:pPr>
      <w:r>
        <w:rPr>
          <w:b/>
          <w:color w:val="18223C"/>
          <w:sz w:val="30"/>
        </w:rPr>
        <w:t>3. Key System Modules &amp; Live Application Walkthrough</w:t>
      </w:r>
    </w:p>
    <w:p>
      <w:pPr>
        <w:spacing w:before="240" w:after="80"/>
      </w:pPr>
      <w:r>
        <w:rPr>
          <w:b/>
          <w:color w:val="2762EB"/>
          <w:sz w:val="25"/>
        </w:rPr>
        <w:t>3.1 Student Authentication &amp; Account Provisioning</w:t>
      </w:r>
    </w:p>
    <w:p>
      <w:pPr>
        <w:spacing w:after="80" w:line="283" w:lineRule="auto"/>
      </w:pPr>
      <w:r>
        <w:rPr>
          <w:color w:val="19233C"/>
          <w:sz w:val="20"/>
        </w:rPr>
        <w:t>Secure authentication with bcrypt password hashing (PASSWORD_DEFAULT), CSRF protection tokens, session regeneration, and automated student identification generation (e.g. UB2026-2136).</w:t>
      </w:r>
    </w:p>
    <w:p>
      <w:pPr>
        <w:spacing w:before="160" w:after="80"/>
        <w:jc w:val="center"/>
      </w:pPr>
      <w:r>
        <w:drawing>
          <wp:inline xmlns:a="http://schemas.openxmlformats.org/drawingml/2006/main" xmlns:pic="http://schemas.openxmlformats.org/drawingml/2006/picture">
            <wp:extent cx="5669280" cy="2692908"/>
            <wp:docPr id="1" name="Picture 1"/>
            <wp:cNvGraphicFramePr>
              <a:graphicFrameLocks noChangeAspect="1"/>
            </wp:cNvGraphicFramePr>
            <a:graphic>
              <a:graphicData uri="http://schemas.openxmlformats.org/drawingml/2006/picture">
                <pic:pic>
                  <pic:nvPicPr>
                    <pic:cNvPr id="0" name="01_login_page.png"/>
                    <pic:cNvPicPr/>
                  </pic:nvPicPr>
                  <pic:blipFill>
                    <a:blip r:embed="rId9"/>
                    <a:stretch>
                      <a:fillRect/>
                    </a:stretch>
                  </pic:blipFill>
                  <pic:spPr>
                    <a:xfrm>
                      <a:off x="0" y="0"/>
                      <a:ext cx="5669280" cy="2692908"/>
                    </a:xfrm>
                    <a:prstGeom prst="rect"/>
                  </pic:spPr>
                </pic:pic>
              </a:graphicData>
            </a:graphic>
          </wp:inline>
        </w:drawing>
      </w:r>
    </w:p>
    <w:p>
      <w:pPr>
        <w:spacing w:after="240"/>
        <w:jc w:val="center"/>
      </w:pPr>
      <w:r>
        <w:rPr>
          <w:i/>
          <w:color w:val="5A6982"/>
          <w:sz w:val="18"/>
        </w:rPr>
        <w:t>Figure: EduAdmin Branded Student Login Interface</w:t>
      </w:r>
    </w:p>
    <w:p>
      <w:pPr>
        <w:spacing w:before="160" w:after="80"/>
        <w:jc w:val="center"/>
      </w:pPr>
      <w:r>
        <w:drawing>
          <wp:inline xmlns:a="http://schemas.openxmlformats.org/drawingml/2006/main" xmlns:pic="http://schemas.openxmlformats.org/drawingml/2006/picture">
            <wp:extent cx="5669280" cy="2692908"/>
            <wp:docPr id="2" name="Picture 2"/>
            <wp:cNvGraphicFramePr>
              <a:graphicFrameLocks noChangeAspect="1"/>
            </wp:cNvGraphicFramePr>
            <a:graphic>
              <a:graphicData uri="http://schemas.openxmlformats.org/drawingml/2006/picture">
                <pic:pic>
                  <pic:nvPicPr>
                    <pic:cNvPr id="0" name="02_signup_page.png"/>
                    <pic:cNvPicPr/>
                  </pic:nvPicPr>
                  <pic:blipFill>
                    <a:blip r:embed="rId10"/>
                    <a:stretch>
                      <a:fillRect/>
                    </a:stretch>
                  </pic:blipFill>
                  <pic:spPr>
                    <a:xfrm>
                      <a:off x="0" y="0"/>
                      <a:ext cx="5669280" cy="2692908"/>
                    </a:xfrm>
                    <a:prstGeom prst="rect"/>
                  </pic:spPr>
                </pic:pic>
              </a:graphicData>
            </a:graphic>
          </wp:inline>
        </w:drawing>
      </w:r>
    </w:p>
    <w:p>
      <w:pPr>
        <w:spacing w:after="240"/>
        <w:jc w:val="center"/>
      </w:pPr>
      <w:r>
        <w:rPr>
          <w:i/>
          <w:color w:val="5A6982"/>
          <w:sz w:val="18"/>
        </w:rPr>
        <w:t>Figure: Student Registration &amp; Automatic Admissions ID Provisioning</w:t>
      </w:r>
    </w:p>
    <w:p>
      <w:pPr>
        <w:spacing w:before="240" w:after="80"/>
      </w:pPr>
      <w:r>
        <w:rPr>
          <w:b/>
          <w:color w:val="2762EB"/>
          <w:sz w:val="25"/>
        </w:rPr>
        <w:t>3.2 Student Overview Dashboard</w:t>
      </w:r>
    </w:p>
    <w:p>
      <w:pPr>
        <w:spacing w:after="80" w:line="283" w:lineRule="auto"/>
      </w:pPr>
      <w:r>
        <w:rPr>
          <w:color w:val="19233C"/>
          <w:sz w:val="20"/>
        </w:rPr>
        <w:t>The dashboard serves as the applicant mission control, calculating onboarding readiness scores, displaying active enrolled courses, SVG activity breakdown charts, and immediate action items.</w:t>
      </w:r>
    </w:p>
    <w:p>
      <w:pPr>
        <w:spacing w:before="160" w:after="80"/>
        <w:jc w:val="center"/>
      </w:pPr>
      <w:r>
        <w:drawing>
          <wp:inline xmlns:a="http://schemas.openxmlformats.org/drawingml/2006/main" xmlns:pic="http://schemas.openxmlformats.org/drawingml/2006/picture">
            <wp:extent cx="5669280" cy="2692908"/>
            <wp:docPr id="3" name="Picture 3"/>
            <wp:cNvGraphicFramePr>
              <a:graphicFrameLocks noChangeAspect="1"/>
            </wp:cNvGraphicFramePr>
            <a:graphic>
              <a:graphicData uri="http://schemas.openxmlformats.org/drawingml/2006/picture">
                <pic:pic>
                  <pic:nvPicPr>
                    <pic:cNvPr id="0" name="03_dashboard_page.png"/>
                    <pic:cNvPicPr/>
                  </pic:nvPicPr>
                  <pic:blipFill>
                    <a:blip r:embed="rId11"/>
                    <a:stretch>
                      <a:fillRect/>
                    </a:stretch>
                  </pic:blipFill>
                  <pic:spPr>
                    <a:xfrm>
                      <a:off x="0" y="0"/>
                      <a:ext cx="5669280" cy="2692908"/>
                    </a:xfrm>
                    <a:prstGeom prst="rect"/>
                  </pic:spPr>
                </pic:pic>
              </a:graphicData>
            </a:graphic>
          </wp:inline>
        </w:drawing>
      </w:r>
    </w:p>
    <w:p>
      <w:pPr>
        <w:spacing w:after="240"/>
        <w:jc w:val="center"/>
      </w:pPr>
      <w:r>
        <w:rPr>
          <w:i/>
          <w:color w:val="5A6982"/>
          <w:sz w:val="18"/>
        </w:rPr>
        <w:t>Figure: Student Overview Dashboard with Readiness Meter and Course Cards</w:t>
      </w:r>
    </w:p>
    <w:p>
      <w:pPr>
        <w:spacing w:before="240" w:after="80"/>
      </w:pPr>
      <w:r>
        <w:rPr>
          <w:b/>
          <w:color w:val="2762EB"/>
          <w:sz w:val="25"/>
        </w:rPr>
        <w:t>3.3 Feature 5: Application Lifecycle &amp; Status Tracking</w:t>
      </w:r>
    </w:p>
    <w:p>
      <w:pPr>
        <w:spacing w:after="80" w:line="283" w:lineRule="auto"/>
      </w:pPr>
      <w:r>
        <w:rPr>
          <w:color w:val="19233C"/>
          <w:sz w:val="20"/>
        </w:rPr>
        <w:t>The application lifecycle tracker provides transparency across the entire review process:</w:t>
      </w:r>
    </w:p>
    <w:p>
      <w:pPr>
        <w:pStyle w:val="ListBullet"/>
        <w:spacing w:after="60" w:line="276" w:lineRule="auto"/>
      </w:pPr>
      <w:r>
        <w:rPr>
          <w:b/>
          <w:color w:val="19233C"/>
          <w:sz w:val="20"/>
        </w:rPr>
        <w:t xml:space="preserve">8 Lifecycle States: </w:t>
      </w:r>
      <w:r>
        <w:rPr>
          <w:color w:val="19233C"/>
          <w:sz w:val="20"/>
        </w:rPr>
        <w:t>Draft, Submitted, Under Review, Documents Pending, Correction Required, Waitlisted, Approved, and Rejected.</w:t>
      </w:r>
    </w:p>
    <w:p>
      <w:pPr>
        <w:pStyle w:val="ListBullet"/>
        <w:spacing w:after="60" w:line="276" w:lineRule="auto"/>
      </w:pPr>
      <w:r>
        <w:rPr>
          <w:b/>
          <w:color w:val="19233C"/>
          <w:sz w:val="20"/>
        </w:rPr>
        <w:t xml:space="preserve">Milestone Status Timeline: </w:t>
      </w:r>
      <w:r>
        <w:rPr>
          <w:color w:val="19233C"/>
          <w:sz w:val="20"/>
        </w:rPr>
        <w:t>Chronological timeline with completed step checkmarks, active pulsating stage badges, and official committee remarks.</w:t>
      </w:r>
    </w:p>
    <w:p>
      <w:pPr>
        <w:pStyle w:val="ListBullet"/>
        <w:spacing w:after="60" w:line="276" w:lineRule="auto"/>
      </w:pPr>
      <w:r>
        <w:rPr>
          <w:b/>
          <w:color w:val="19233C"/>
          <w:sz w:val="20"/>
        </w:rPr>
        <w:t xml:space="preserve">Status Stats Cards: </w:t>
      </w:r>
      <w:r>
        <w:rPr>
          <w:color w:val="19233C"/>
          <w:sz w:val="20"/>
        </w:rPr>
        <w:t>Four high-level KPI cards displaying Application ID, Lifecycle State, Submission Date, and Document Compliance.</w:t>
      </w:r>
    </w:p>
    <w:p>
      <w:pPr>
        <w:pStyle w:val="ListBullet"/>
        <w:spacing w:after="60" w:line="276" w:lineRule="auto"/>
      </w:pPr>
      <w:r>
        <w:rPr>
          <w:b/>
          <w:color w:val="19233C"/>
          <w:sz w:val="20"/>
        </w:rPr>
        <w:t xml:space="preserve">Admissions Review Simulator: </w:t>
      </w:r>
      <w:r>
        <w:rPr>
          <w:color w:val="19233C"/>
          <w:sz w:val="20"/>
        </w:rPr>
        <w:t>An embedded interactive testing tool enabling faculty or evaluators to simulate admissions transitions and trigger real-time notification alerts.</w:t>
      </w:r>
    </w:p>
    <w:p>
      <w:pPr>
        <w:pStyle w:val="ListBullet"/>
        <w:spacing w:after="60" w:line="276" w:lineRule="auto"/>
      </w:pPr>
      <w:r>
        <w:rPr>
          <w:b/>
          <w:color w:val="19233C"/>
          <w:sz w:val="20"/>
        </w:rPr>
        <w:t xml:space="preserve">Real-Time Notifications Feed: </w:t>
      </w:r>
      <w:r>
        <w:rPr>
          <w:color w:val="19233C"/>
          <w:sz w:val="20"/>
        </w:rPr>
        <w:t>Alert feed reflecting all status transitions with unread counters and severity indicators (Success, Warning, Alert, Info).</w:t>
      </w:r>
    </w:p>
    <w:p>
      <w:pPr>
        <w:spacing w:before="160" w:after="80"/>
        <w:jc w:val="center"/>
      </w:pPr>
      <w:r>
        <w:drawing>
          <wp:inline xmlns:a="http://schemas.openxmlformats.org/drawingml/2006/main" xmlns:pic="http://schemas.openxmlformats.org/drawingml/2006/picture">
            <wp:extent cx="5669280" cy="2692908"/>
            <wp:docPr id="4" name="Picture 4"/>
            <wp:cNvGraphicFramePr>
              <a:graphicFrameLocks noChangeAspect="1"/>
            </wp:cNvGraphicFramePr>
            <a:graphic>
              <a:graphicData uri="http://schemas.openxmlformats.org/drawingml/2006/picture">
                <pic:pic>
                  <pic:nvPicPr>
                    <pic:cNvPr id="0" name="04_application_tracking.png"/>
                    <pic:cNvPicPr/>
                  </pic:nvPicPr>
                  <pic:blipFill>
                    <a:blip r:embed="rId12"/>
                    <a:stretch>
                      <a:fillRect/>
                    </a:stretch>
                  </pic:blipFill>
                  <pic:spPr>
                    <a:xfrm>
                      <a:off x="0" y="0"/>
                      <a:ext cx="5669280" cy="2692908"/>
                    </a:xfrm>
                    <a:prstGeom prst="rect"/>
                  </pic:spPr>
                </pic:pic>
              </a:graphicData>
            </a:graphic>
          </wp:inline>
        </w:drawing>
      </w:r>
    </w:p>
    <w:p>
      <w:pPr>
        <w:spacing w:after="240"/>
        <w:jc w:val="center"/>
      </w:pPr>
      <w:r>
        <w:rPr>
          <w:i/>
          <w:color w:val="5A6982"/>
          <w:sz w:val="18"/>
        </w:rPr>
        <w:t>Figure: Application Milestones Timeline, Document Compliance &amp; Review Simulator</w:t>
      </w:r>
    </w:p>
    <w:p>
      <w:pPr>
        <w:spacing w:before="240" w:after="80"/>
      </w:pPr>
      <w:r>
        <w:rPr>
          <w:b/>
          <w:color w:val="2762EB"/>
          <w:sz w:val="25"/>
        </w:rPr>
        <w:t>3.4 Feature 6: Fee Payment, StroWallet Checkout &amp; Receipts</w:t>
      </w:r>
    </w:p>
    <w:p>
      <w:pPr>
        <w:spacing w:after="80" w:line="283" w:lineRule="auto"/>
      </w:pPr>
      <w:r>
        <w:rPr>
          <w:color w:val="19233C"/>
          <w:sz w:val="20"/>
        </w:rPr>
        <w:t>A robust simulated financial module built for student projects and production deployments:</w:t>
      </w:r>
    </w:p>
    <w:p>
      <w:pPr>
        <w:pStyle w:val="ListBullet"/>
        <w:spacing w:after="60" w:line="276" w:lineRule="auto"/>
      </w:pPr>
      <w:r>
        <w:rPr>
          <w:b/>
          <w:color w:val="19233C"/>
          <w:sz w:val="20"/>
        </w:rPr>
        <w:t xml:space="preserve">Two-Stage Fee Architecture: </w:t>
      </w:r>
      <w:r>
        <w:rPr>
          <w:color w:val="19233C"/>
          <w:sz w:val="20"/>
        </w:rPr>
        <w:t>Stage 1 Application Processing Fee (NGN 300.00) and Stage 2 Enrolment &amp; Seat Confirmation Fee (NGN 700.00).</w:t>
      </w:r>
    </w:p>
    <w:p>
      <w:pPr>
        <w:pStyle w:val="ListBullet"/>
        <w:spacing w:after="60" w:line="276" w:lineRule="auto"/>
      </w:pPr>
      <w:r>
        <w:rPr>
          <w:b/>
          <w:color w:val="19233C"/>
          <w:sz w:val="20"/>
        </w:rPr>
        <w:t xml:space="preserve">Simulated Payment Gateway Modal: </w:t>
      </w:r>
      <w:r>
        <w:rPr>
          <w:color w:val="19233C"/>
          <w:sz w:val="20"/>
        </w:rPr>
        <w:t>StroWallet-powered sandboxed modal checkout supporting Card, Balance, and Direct Bank Transfer payments.</w:t>
      </w:r>
    </w:p>
    <w:p>
      <w:pPr>
        <w:pStyle w:val="ListBullet"/>
        <w:spacing w:after="60" w:line="276" w:lineRule="auto"/>
      </w:pPr>
      <w:r>
        <w:rPr>
          <w:b/>
          <w:color w:val="19233C"/>
          <w:sz w:val="20"/>
        </w:rPr>
        <w:t xml:space="preserve">Transaction History Table: </w:t>
      </w:r>
      <w:r>
        <w:rPr>
          <w:color w:val="19233C"/>
          <w:sz w:val="20"/>
        </w:rPr>
        <w:t>Searchable real-time ledger tracking references, paid amounts, timestamps, and payment statuses (Paid/Pending).</w:t>
      </w:r>
    </w:p>
    <w:p>
      <w:pPr>
        <w:pStyle w:val="ListBullet"/>
        <w:spacing w:after="60" w:line="276" w:lineRule="auto"/>
      </w:pPr>
      <w:r>
        <w:rPr>
          <w:b/>
          <w:color w:val="19233C"/>
          <w:sz w:val="20"/>
        </w:rPr>
        <w:t xml:space="preserve">Official Electronic Receipt: </w:t>
      </w:r>
      <w:r>
        <w:rPr>
          <w:color w:val="19233C"/>
          <w:sz w:val="20"/>
        </w:rPr>
        <w:t>Printable and downloadable PDF-ready receipt modal featuring verified student credentials, course metadata, and authenticated registrar seals.</w:t>
      </w:r>
    </w:p>
    <w:p>
      <w:pPr>
        <w:spacing w:before="160" w:after="80"/>
        <w:jc w:val="center"/>
      </w:pPr>
      <w:r>
        <w:drawing>
          <wp:inline xmlns:a="http://schemas.openxmlformats.org/drawingml/2006/main" xmlns:pic="http://schemas.openxmlformats.org/drawingml/2006/picture">
            <wp:extent cx="5669280" cy="2692908"/>
            <wp:docPr id="5" name="Picture 5"/>
            <wp:cNvGraphicFramePr>
              <a:graphicFrameLocks noChangeAspect="1"/>
            </wp:cNvGraphicFramePr>
            <a:graphic>
              <a:graphicData uri="http://schemas.openxmlformats.org/drawingml/2006/picture">
                <pic:pic>
                  <pic:nvPicPr>
                    <pic:cNvPr id="0" name="05_fee_payments.png"/>
                    <pic:cNvPicPr/>
                  </pic:nvPicPr>
                  <pic:blipFill>
                    <a:blip r:embed="rId13"/>
                    <a:stretch>
                      <a:fillRect/>
                    </a:stretch>
                  </pic:blipFill>
                  <pic:spPr>
                    <a:xfrm>
                      <a:off x="0" y="0"/>
                      <a:ext cx="5669280" cy="2692908"/>
                    </a:xfrm>
                    <a:prstGeom prst="rect"/>
                  </pic:spPr>
                </pic:pic>
              </a:graphicData>
            </a:graphic>
          </wp:inline>
        </w:drawing>
      </w:r>
    </w:p>
    <w:p>
      <w:pPr>
        <w:spacing w:after="240"/>
        <w:jc w:val="center"/>
      </w:pPr>
      <w:r>
        <w:rPr>
          <w:i/>
          <w:color w:val="5A6982"/>
          <w:sz w:val="18"/>
        </w:rPr>
        <w:t>Figure: Fee Payment Centre with Two-Stage Fee Cards &amp; StroWallet Transaction History</w:t>
      </w:r>
    </w:p>
    <w:p>
      <w:pPr>
        <w:spacing w:before="160" w:after="80"/>
        <w:jc w:val="center"/>
      </w:pPr>
      <w:r>
        <w:drawing>
          <wp:inline xmlns:a="http://schemas.openxmlformats.org/drawingml/2006/main" xmlns:pic="http://schemas.openxmlformats.org/drawingml/2006/picture">
            <wp:extent cx="5669280" cy="2692908"/>
            <wp:docPr id="6" name="Picture 6"/>
            <wp:cNvGraphicFramePr>
              <a:graphicFrameLocks noChangeAspect="1"/>
            </wp:cNvGraphicFramePr>
            <a:graphic>
              <a:graphicData uri="http://schemas.openxmlformats.org/drawingml/2006/picture">
                <pic:pic>
                  <pic:nvPicPr>
                    <pic:cNvPr id="0" name="06_electronic_receipt.png"/>
                    <pic:cNvPicPr/>
                  </pic:nvPicPr>
                  <pic:blipFill>
                    <a:blip r:embed="rId14"/>
                    <a:stretch>
                      <a:fillRect/>
                    </a:stretch>
                  </pic:blipFill>
                  <pic:spPr>
                    <a:xfrm>
                      <a:off x="0" y="0"/>
                      <a:ext cx="5669280" cy="2692908"/>
                    </a:xfrm>
                    <a:prstGeom prst="rect"/>
                  </pic:spPr>
                </pic:pic>
              </a:graphicData>
            </a:graphic>
          </wp:inline>
        </w:drawing>
      </w:r>
    </w:p>
    <w:p>
      <w:pPr>
        <w:spacing w:after="240"/>
        <w:jc w:val="center"/>
      </w:pPr>
      <w:r>
        <w:rPr>
          <w:i/>
          <w:color w:val="5A6982"/>
          <w:sz w:val="18"/>
        </w:rPr>
        <w:t>Figure: Authenticated Electronic Fee Receipt with window.print() Support</w:t>
      </w:r>
    </w:p>
    <w:p>
      <w:pPr>
        <w:spacing w:before="320" w:after="120"/>
      </w:pPr>
      <w:r>
        <w:rPr>
          <w:b/>
          <w:color w:val="18223C"/>
          <w:sz w:val="30"/>
        </w:rPr>
        <w:t>4. Technical Architecture &amp; Database Schema</w:t>
      </w:r>
    </w:p>
    <w:p>
      <w:pPr>
        <w:spacing w:after="80" w:line="283" w:lineRule="auto"/>
      </w:pPr>
      <w:r>
        <w:rPr>
          <w:color w:val="19233C"/>
          <w:sz w:val="20"/>
        </w:rPr>
        <w:t>UniBridge utilizes a decoupled model with PHP PDO backends serving normalized JSON REST APIs to vanilla ES module clients. Automatic table bootstrapping is performed on startup:</w:t>
      </w:r>
    </w:p>
    <w:tbl>
      <w:tblPr>
        <w:tblW w:type="auto" w:w="0"/>
        <w:jc w:val="center"/>
        <w:tblLook w:firstColumn="1" w:firstRow="1" w:lastColumn="0" w:lastRow="0" w:noHBand="0" w:noVBand="1" w:val="04A0"/>
      </w:tblPr>
      <w:tblGrid>
        <w:gridCol w:w="3264"/>
        <w:gridCol w:w="3264"/>
        <w:gridCol w:w="3264"/>
      </w:tblGrid>
      <w:tr>
        <w:tc>
          <w:tcPr>
            <w:tcW w:type="dxa" w:w="3264"/>
            <w:shd w:fill="18223C"/>
            <w:tcMar>
              <w:top w:w="80" w:type="dxa"/>
              <w:bottom w:w="80" w:type="dxa"/>
              <w:left w:w="100" w:type="dxa"/>
              <w:right w:w="100" w:type="dxa"/>
            </w:tcMar>
          </w:tcPr>
          <w:p>
            <w:r>
              <w:rPr>
                <w:b/>
                <w:color w:val="FFFFFF"/>
                <w:sz w:val="19"/>
              </w:rPr>
              <w:t>Table Name</w:t>
            </w:r>
          </w:p>
        </w:tc>
        <w:tc>
          <w:tcPr>
            <w:tcW w:type="dxa" w:w="3264"/>
            <w:shd w:fill="18223C"/>
            <w:tcMar>
              <w:top w:w="80" w:type="dxa"/>
              <w:bottom w:w="80" w:type="dxa"/>
              <w:left w:w="100" w:type="dxa"/>
              <w:right w:w="100" w:type="dxa"/>
            </w:tcMar>
          </w:tcPr>
          <w:p>
            <w:r>
              <w:rPr>
                <w:b/>
                <w:color w:val="FFFFFF"/>
                <w:sz w:val="19"/>
              </w:rPr>
              <w:t>Primary Purpose</w:t>
            </w:r>
          </w:p>
        </w:tc>
        <w:tc>
          <w:tcPr>
            <w:tcW w:type="dxa" w:w="3264"/>
            <w:shd w:fill="18223C"/>
            <w:tcMar>
              <w:top w:w="80" w:type="dxa"/>
              <w:bottom w:w="80" w:type="dxa"/>
              <w:left w:w="100" w:type="dxa"/>
              <w:right w:w="100" w:type="dxa"/>
            </w:tcMar>
          </w:tcPr>
          <w:p>
            <w:r>
              <w:rPr>
                <w:b/>
                <w:color w:val="FFFFFF"/>
                <w:sz w:val="19"/>
              </w:rPr>
              <w:t>Key Columns / Enums</w:t>
            </w:r>
          </w:p>
        </w:tc>
      </w:tr>
      <w:tr>
        <w:tc>
          <w:tcPr>
            <w:tcW w:type="dxa" w:w="3264"/>
            <w:shd w:fill="FAFCFF"/>
            <w:tcMar>
              <w:top w:w="60" w:type="dxa"/>
              <w:bottom w:w="60" w:type="dxa"/>
              <w:left w:w="100" w:type="dxa"/>
              <w:right w:w="100" w:type="dxa"/>
            </w:tcMar>
          </w:tcPr>
          <w:p>
            <w:r>
              <w:rPr>
                <w:b/>
                <w:color w:val="19233C"/>
                <w:sz w:val="18"/>
              </w:rPr>
              <w:t>student_login</w:t>
            </w:r>
          </w:p>
        </w:tc>
        <w:tc>
          <w:tcPr>
            <w:tcW w:type="dxa" w:w="3264"/>
            <w:shd w:fill="FAFCFF"/>
            <w:tcMar>
              <w:top w:w="60" w:type="dxa"/>
              <w:bottom w:w="60" w:type="dxa"/>
              <w:left w:w="100" w:type="dxa"/>
              <w:right w:w="100" w:type="dxa"/>
            </w:tcMar>
          </w:tcPr>
          <w:p>
            <w:r>
              <w:rPr>
                <w:color w:val="19233C"/>
                <w:sz w:val="18"/>
              </w:rPr>
              <w:t>Authentication credentials &amp; audit timestamps</w:t>
            </w:r>
          </w:p>
        </w:tc>
        <w:tc>
          <w:tcPr>
            <w:tcW w:type="dxa" w:w="3264"/>
            <w:shd w:fill="FAFCFF"/>
            <w:tcMar>
              <w:top w:w="60" w:type="dxa"/>
              <w:bottom w:w="60" w:type="dxa"/>
              <w:left w:w="100" w:type="dxa"/>
              <w:right w:w="100" w:type="dxa"/>
            </w:tcMar>
          </w:tcPr>
          <w:p>
            <w:r>
              <w:rPr>
                <w:color w:val="19233C"/>
                <w:sz w:val="18"/>
              </w:rPr>
              <w:t>student_id (PK), admission_no, email, password_hash, last_login</w:t>
            </w:r>
          </w:p>
        </w:tc>
      </w:tr>
      <w:tr>
        <w:tc>
          <w:tcPr>
            <w:tcW w:type="dxa" w:w="3264"/>
            <w:shd w:fill="FFFFFF"/>
            <w:tcMar>
              <w:top w:w="60" w:type="dxa"/>
              <w:bottom w:w="60" w:type="dxa"/>
              <w:left w:w="100" w:type="dxa"/>
              <w:right w:w="100" w:type="dxa"/>
            </w:tcMar>
          </w:tcPr>
          <w:p>
            <w:r>
              <w:rPr>
                <w:b/>
                <w:color w:val="19233C"/>
                <w:sz w:val="18"/>
              </w:rPr>
              <w:t>student_registration</w:t>
            </w:r>
          </w:p>
        </w:tc>
        <w:tc>
          <w:tcPr>
            <w:tcW w:type="dxa" w:w="3264"/>
            <w:shd w:fill="FFFFFF"/>
            <w:tcMar>
              <w:top w:w="60" w:type="dxa"/>
              <w:bottom w:w="60" w:type="dxa"/>
              <w:left w:w="100" w:type="dxa"/>
              <w:right w:w="100" w:type="dxa"/>
            </w:tcMar>
          </w:tcPr>
          <w:p>
            <w:r>
              <w:rPr>
                <w:color w:val="19233C"/>
                <w:sz w:val="18"/>
              </w:rPr>
              <w:t>Student profile &amp; program selection</w:t>
            </w:r>
          </w:p>
        </w:tc>
        <w:tc>
          <w:tcPr>
            <w:tcW w:type="dxa" w:w="3264"/>
            <w:shd w:fill="FFFFFF"/>
            <w:tcMar>
              <w:top w:w="60" w:type="dxa"/>
              <w:bottom w:w="60" w:type="dxa"/>
              <w:left w:w="100" w:type="dxa"/>
              <w:right w:w="100" w:type="dxa"/>
            </w:tcMar>
          </w:tcPr>
          <w:p>
            <w:r>
              <w:rPr>
                <w:color w:val="19233C"/>
                <w:sz w:val="18"/>
              </w:rPr>
              <w:t>student_id (FK), full_name, course, phone, admission_year, address</w:t>
            </w:r>
          </w:p>
        </w:tc>
      </w:tr>
      <w:tr>
        <w:tc>
          <w:tcPr>
            <w:tcW w:type="dxa" w:w="3264"/>
            <w:shd w:fill="FAFCFF"/>
            <w:tcMar>
              <w:top w:w="60" w:type="dxa"/>
              <w:bottom w:w="60" w:type="dxa"/>
              <w:left w:w="100" w:type="dxa"/>
              <w:right w:w="100" w:type="dxa"/>
            </w:tcMar>
          </w:tcPr>
          <w:p>
            <w:r>
              <w:rPr>
                <w:b/>
                <w:color w:val="19233C"/>
                <w:sz w:val="18"/>
              </w:rPr>
              <w:t>application_track</w:t>
            </w:r>
          </w:p>
        </w:tc>
        <w:tc>
          <w:tcPr>
            <w:tcW w:type="dxa" w:w="3264"/>
            <w:shd w:fill="FAFCFF"/>
            <w:tcMar>
              <w:top w:w="60" w:type="dxa"/>
              <w:bottom w:w="60" w:type="dxa"/>
              <w:left w:w="100" w:type="dxa"/>
              <w:right w:w="100" w:type="dxa"/>
            </w:tcMar>
          </w:tcPr>
          <w:p>
            <w:r>
              <w:rPr>
                <w:color w:val="19233C"/>
                <w:sz w:val="18"/>
              </w:rPr>
              <w:t>Lifecycle milestone status &amp; committee notes</w:t>
            </w:r>
          </w:p>
        </w:tc>
        <w:tc>
          <w:tcPr>
            <w:tcW w:type="dxa" w:w="3264"/>
            <w:shd w:fill="FAFCFF"/>
            <w:tcMar>
              <w:top w:w="60" w:type="dxa"/>
              <w:bottom w:w="60" w:type="dxa"/>
              <w:left w:w="100" w:type="dxa"/>
              <w:right w:w="100" w:type="dxa"/>
            </w:tcMar>
          </w:tcPr>
          <w:p>
            <w:r>
              <w:rPr>
                <w:color w:val="19233C"/>
                <w:sz w:val="18"/>
              </w:rPr>
              <w:t>application_id (PK), student_id, status (ENUM), status_note, submitted_at</w:t>
            </w:r>
          </w:p>
        </w:tc>
      </w:tr>
      <w:tr>
        <w:tc>
          <w:tcPr>
            <w:tcW w:type="dxa" w:w="3264"/>
            <w:shd w:fill="FFFFFF"/>
            <w:tcMar>
              <w:top w:w="60" w:type="dxa"/>
              <w:bottom w:w="60" w:type="dxa"/>
              <w:left w:w="100" w:type="dxa"/>
              <w:right w:w="100" w:type="dxa"/>
            </w:tcMar>
          </w:tcPr>
          <w:p>
            <w:r>
              <w:rPr>
                <w:b/>
                <w:color w:val="19233C"/>
                <w:sz w:val="18"/>
              </w:rPr>
              <w:t>fee_payments</w:t>
            </w:r>
          </w:p>
        </w:tc>
        <w:tc>
          <w:tcPr>
            <w:tcW w:type="dxa" w:w="3264"/>
            <w:shd w:fill="FFFFFF"/>
            <w:tcMar>
              <w:top w:w="60" w:type="dxa"/>
              <w:bottom w:w="60" w:type="dxa"/>
              <w:left w:w="100" w:type="dxa"/>
              <w:right w:w="100" w:type="dxa"/>
            </w:tcMar>
          </w:tcPr>
          <w:p>
            <w:r>
              <w:rPr>
                <w:color w:val="19233C"/>
                <w:sz w:val="18"/>
              </w:rPr>
              <w:t>Financial transaction records &amp; verification</w:t>
            </w:r>
          </w:p>
        </w:tc>
        <w:tc>
          <w:tcPr>
            <w:tcW w:type="dxa" w:w="3264"/>
            <w:shd w:fill="FFFFFF"/>
            <w:tcMar>
              <w:top w:w="60" w:type="dxa"/>
              <w:bottom w:w="60" w:type="dxa"/>
              <w:left w:w="100" w:type="dxa"/>
              <w:right w:w="100" w:type="dxa"/>
            </w:tcMar>
          </w:tcPr>
          <w:p>
            <w:r>
              <w:rPr>
                <w:color w:val="19233C"/>
                <w:sz w:val="18"/>
              </w:rPr>
              <w:t>payment_id (PK), student_id, reference, fee_type, amount, status, paid_at</w:t>
            </w:r>
          </w:p>
        </w:tc>
      </w:tr>
      <w:tr>
        <w:tc>
          <w:tcPr>
            <w:tcW w:type="dxa" w:w="3264"/>
            <w:shd w:fill="FAFCFF"/>
            <w:tcMar>
              <w:top w:w="60" w:type="dxa"/>
              <w:bottom w:w="60" w:type="dxa"/>
              <w:left w:w="100" w:type="dxa"/>
              <w:right w:w="100" w:type="dxa"/>
            </w:tcMar>
          </w:tcPr>
          <w:p>
            <w:r>
              <w:rPr>
                <w:b/>
                <w:color w:val="19233C"/>
                <w:sz w:val="18"/>
              </w:rPr>
              <w:t>student_notifications</w:t>
            </w:r>
          </w:p>
        </w:tc>
        <w:tc>
          <w:tcPr>
            <w:tcW w:type="dxa" w:w="3264"/>
            <w:shd w:fill="FAFCFF"/>
            <w:tcMar>
              <w:top w:w="60" w:type="dxa"/>
              <w:bottom w:w="60" w:type="dxa"/>
              <w:left w:w="100" w:type="dxa"/>
              <w:right w:w="100" w:type="dxa"/>
            </w:tcMar>
          </w:tcPr>
          <w:p>
            <w:r>
              <w:rPr>
                <w:color w:val="19233C"/>
                <w:sz w:val="18"/>
              </w:rPr>
              <w:t>Push notifications triggered on status events</w:t>
            </w:r>
          </w:p>
        </w:tc>
        <w:tc>
          <w:tcPr>
            <w:tcW w:type="dxa" w:w="3264"/>
            <w:shd w:fill="FAFCFF"/>
            <w:tcMar>
              <w:top w:w="60" w:type="dxa"/>
              <w:bottom w:w="60" w:type="dxa"/>
              <w:left w:w="100" w:type="dxa"/>
              <w:right w:w="100" w:type="dxa"/>
            </w:tcMar>
          </w:tcPr>
          <w:p>
            <w:r>
              <w:rPr>
                <w:color w:val="19233C"/>
                <w:sz w:val="18"/>
              </w:rPr>
              <w:t>notification_id (PK), student_id, title, message, type (ENUM), is_read</w:t>
            </w:r>
          </w:p>
        </w:tc>
      </w:tr>
    </w:tbl>
    <w:p/>
    <w:p>
      <w:pPr>
        <w:spacing w:before="320" w:after="120"/>
      </w:pPr>
      <w:r>
        <w:rPr>
          <w:b/>
          <w:color w:val="18223C"/>
          <w:sz w:val="30"/>
        </w:rPr>
        <w:t>5. Containerization &amp; Deployment Pipeline</w:t>
      </w:r>
    </w:p>
    <w:p>
      <w:pPr>
        <w:spacing w:after="80" w:line="283" w:lineRule="auto"/>
      </w:pPr>
      <w:r>
        <w:rPr>
          <w:color w:val="19233C"/>
          <w:sz w:val="20"/>
        </w:rPr>
        <w:t>The application is engineered for zero-dependency containerized deployments:</w:t>
      </w:r>
    </w:p>
    <w:p>
      <w:pPr>
        <w:pStyle w:val="ListBullet"/>
        <w:spacing w:after="60" w:line="276" w:lineRule="auto"/>
      </w:pPr>
      <w:r>
        <w:rPr>
          <w:b/>
          <w:color w:val="19233C"/>
          <w:sz w:val="20"/>
        </w:rPr>
        <w:t xml:space="preserve">Dockerfile: </w:t>
      </w:r>
      <w:r>
        <w:rPr>
          <w:color w:val="19233C"/>
          <w:sz w:val="20"/>
        </w:rPr>
        <w:t>Based on official php:8.2-apache, configuring pdo_mysql, mod_rewrite, custom php.ini configurations (10MB upload limits, disabled display_errors, enabled error_logging), and Apache healthchecks.</w:t>
      </w:r>
    </w:p>
    <w:p>
      <w:pPr>
        <w:pStyle w:val="ListBullet"/>
        <w:spacing w:after="60" w:line="276" w:lineRule="auto"/>
      </w:pPr>
      <w:r>
        <w:rPr>
          <w:b/>
          <w:color w:val="19233C"/>
          <w:sz w:val="20"/>
        </w:rPr>
        <w:t xml:space="preserve">docker-compose.yml: </w:t>
      </w:r>
      <w:r>
        <w:rPr>
          <w:color w:val="19233C"/>
          <w:sz w:val="20"/>
        </w:rPr>
        <w:t>Orchestrates three services: the PHP web app (port 8080), MariaDB 11.4 database (port 3306 with healthcheck dependencies), and phpMyAdmin (port 8081).</w:t>
      </w:r>
    </w:p>
    <w:p>
      <w:pPr>
        <w:pStyle w:val="ListBullet"/>
        <w:spacing w:after="60" w:line="276" w:lineRule="auto"/>
      </w:pPr>
      <w:r>
        <w:rPr>
          <w:b/>
          <w:color w:val="19233C"/>
          <w:sz w:val="20"/>
        </w:rPr>
        <w:t xml:space="preserve">Environment Configuration: </w:t>
      </w:r>
      <w:r>
        <w:rPr>
          <w:color w:val="19233C"/>
          <w:sz w:val="20"/>
        </w:rPr>
        <w:t>Parameterized database connection strings via DB_HOST, DB_NAME, DB_USER, and DB_PASS for seamless CI/CD and production environments.</w:t>
      </w:r>
    </w:p>
    <w:p>
      <w:pPr>
        <w:spacing w:before="320" w:after="120"/>
      </w:pPr>
      <w:r>
        <w:rPr>
          <w:b/>
          <w:color w:val="18223C"/>
          <w:sz w:val="30"/>
        </w:rPr>
        <w:t>6. Conclusion</w:t>
      </w:r>
    </w:p>
    <w:p>
      <w:pPr>
        <w:spacing w:after="80" w:line="283" w:lineRule="auto"/>
      </w:pPr>
      <w:r>
        <w:rPr>
          <w:color w:val="19233C"/>
          <w:sz w:val="20"/>
        </w:rPr>
        <w:t>The UniBridge portal upgrade fulfills all specified requirements: fixing UI overlapping issues across all viewports, delivering a modern realistic EduAdmin theme, deploying a full-featured Application Tracking lifecycle timeline, and integrating an interactive simulated fee payment and electronic receipt generator. All code changes have been validated, tested in browser sessions, committed, and pushed to the remote GitHub repository.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