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ato" w:cs="Lato" w:eastAsia="Lato" w:hAnsi="Lato"/>
          <w:color w:val="333333"/>
          <w:shd w:fill="f5f5f5" w:val="clear"/>
        </w:rPr>
      </w:pPr>
      <w:r w:rsidDel="00000000" w:rsidR="00000000" w:rsidRPr="00000000">
        <w:rPr>
          <w:rFonts w:ascii="Lato" w:cs="Lato" w:eastAsia="Lato" w:hAnsi="Lato"/>
          <w:color w:val="333333"/>
          <w:shd w:fill="f5f5f5" w:val="clear"/>
          <w:rtl w:val="0"/>
        </w:rPr>
        <w:t xml:space="preserve">IT5014 – Project (PW)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 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Functional Requirement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Title of the Project: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E-Auction Management System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Management</w:t>
      </w:r>
    </w:p>
    <w:tbl>
      <w:tblPr>
        <w:tblStyle w:val="Table1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allow bidders to register with unique username, password, email id, mobile number send verification emails and OTPs for mobile number verification.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 Registration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and the owner shall be able to log in using their username and password.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shall be able to view and update their profile information.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Profile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Users shall be able to change their password and reset it through email verification if forgotten.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Password Management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Auction Management</w:t>
      </w:r>
    </w:p>
    <w:tbl>
      <w:tblPr>
        <w:tblStyle w:val="Table2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owner shall be able to add, edit, and delete auction items and categorized for better management.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Item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owner can set the start and end times for each auction and manage the auction timing.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Auction Scheduling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will display a list of upcoming auctions accessible to all users and viewers.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Upcoming Auctions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Only interested bidders and the owner can view and participate in live auctions.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Live Auctions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Bidding</w:t>
      </w:r>
    </w:p>
    <w:tbl>
      <w:tblPr>
        <w:tblStyle w:val="Table3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Interested bidders can place bids on auction items.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 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will send notifications to bidders about their bid status (outbid, winning bid) and auction updates.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 Notifications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Earnest Money Deposit (EMD)</w:t>
      </w:r>
    </w:p>
    <w:tbl>
      <w:tblPr>
        <w:tblStyle w:val="Table4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must register and pay the EMD before the EMD date to participate in an auction.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EMD Registration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owner can manage the EMD amount and its due date for each auction.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EMD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EMD amount will be refunded to all non-winning bidders after the auction concludes.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EMD Refund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 Processing</w:t>
      </w:r>
    </w:p>
    <w:tbl>
      <w:tblPr>
        <w:tblStyle w:val="Table5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can make EMD payments through a secure payment gateway.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EMD Payment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Winning bidders can make the full payment for the auctioned items via the payment gateway.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Full Payment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Auction Outcomes</w:t>
      </w:r>
    </w:p>
    <w:tbl>
      <w:tblPr>
        <w:tblStyle w:val="Table6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will automatically determine the auction winner based on the highest bid amount.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Winner Determination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auction will start only if the first bid meets or exceeds the reserve price.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Reserve Price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final price of the item will be the highest bid amount at the end of the auction.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Final Price</w:t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and Filtering</w:t>
      </w:r>
    </w:p>
    <w:tbl>
      <w:tblPr>
        <w:tblStyle w:val="Table7"/>
        <w:tblW w:w="10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7138"/>
        <w:gridCol w:w="2132"/>
        <w:tblGridChange w:id="0">
          <w:tblGrid>
            <w:gridCol w:w="937"/>
            <w:gridCol w:w="7138"/>
            <w:gridCol w:w="2132"/>
          </w:tblGrid>
        </w:tblGridChange>
      </w:tblGrid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Users shall be able to search for auction items using keywords.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Item 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Users can filter auction items based on item name, category, and reserve price.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Filtering Options</w:t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[202206100110058,202206100110142,202206100110147,202206100110212] 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8"/>
      <w:tblW w:w="9360.0" w:type="dxa"/>
      <w:jc w:val="left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7911"/>
      <w:gridCol w:w="1449"/>
      <w:tblGridChange w:id="0">
        <w:tblGrid>
          <w:gridCol w:w="7911"/>
          <w:gridCol w:w="1449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Babu Madhav Institute of Information Technology, UTU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2024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2FF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19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195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3358F7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A017C8"/>
    <w:rPr>
      <w:rFonts w:ascii="Calibri-Bold" w:hAnsi="Calibri-Bold" w:hint="default"/>
      <w:b w:val="1"/>
      <w:bCs w:val="1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XkmTnCBTpSYWSSzdQdYFkAX/Q==">CgMxLjA4AHIhMTNwbXF3U3Nta2dUWFBqNHhJRlRZZW1scW4tREpUcl84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2024-07-01T15:18:00Z</dcterms:created>
  <dc:creator>Lenovo</dc:creator>
</cp:coreProperties>
</file>