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E06F2" w14:textId="77777777" w:rsidR="003E4CD6" w:rsidRPr="0030039F" w:rsidRDefault="003E4CD6" w:rsidP="001F22EF">
      <w:pPr>
        <w:spacing w:line="360" w:lineRule="auto"/>
        <w:jc w:val="center"/>
        <w:rPr>
          <w:rFonts w:ascii="Times New Roman" w:hAnsi="Times New Roman" w:cs="Times New Roman"/>
          <w:b/>
          <w:bCs/>
          <w:sz w:val="56"/>
          <w:szCs w:val="56"/>
        </w:rPr>
      </w:pPr>
      <w:r w:rsidRPr="0030039F">
        <w:rPr>
          <w:rFonts w:ascii="Times New Roman" w:hAnsi="Times New Roman" w:cs="Times New Roman"/>
          <w:b/>
          <w:bCs/>
          <w:sz w:val="56"/>
          <w:szCs w:val="56"/>
        </w:rPr>
        <w:t>From Household Enterprise to Community Tourism: A Comparative Study of Homestays in Satkhol and Sunkiya, Uttarakhand</w:t>
      </w:r>
    </w:p>
    <w:p w14:paraId="39732172" w14:textId="77777777" w:rsidR="004C764D" w:rsidRDefault="004C764D" w:rsidP="001F22EF">
      <w:pPr>
        <w:spacing w:line="360" w:lineRule="auto"/>
        <w:jc w:val="center"/>
        <w:rPr>
          <w:rFonts w:ascii="Times New Roman" w:hAnsi="Times New Roman" w:cs="Times New Roman"/>
          <w:b/>
          <w:bCs/>
          <w:sz w:val="48"/>
          <w:szCs w:val="48"/>
        </w:rPr>
      </w:pPr>
    </w:p>
    <w:p w14:paraId="1D1EAEB9" w14:textId="77777777" w:rsidR="004C764D" w:rsidRDefault="004C764D" w:rsidP="001F22EF">
      <w:pPr>
        <w:spacing w:line="360" w:lineRule="auto"/>
        <w:jc w:val="center"/>
        <w:rPr>
          <w:rFonts w:ascii="Times New Roman" w:hAnsi="Times New Roman" w:cs="Times New Roman"/>
          <w:b/>
          <w:bCs/>
          <w:sz w:val="48"/>
          <w:szCs w:val="48"/>
        </w:rPr>
      </w:pPr>
    </w:p>
    <w:p w14:paraId="50D7C950" w14:textId="77777777" w:rsidR="004C764D" w:rsidRDefault="004C764D" w:rsidP="001F22EF">
      <w:pPr>
        <w:spacing w:line="360" w:lineRule="auto"/>
        <w:jc w:val="center"/>
        <w:rPr>
          <w:rFonts w:ascii="Times New Roman" w:hAnsi="Times New Roman" w:cs="Times New Roman"/>
          <w:b/>
          <w:bCs/>
          <w:sz w:val="48"/>
          <w:szCs w:val="48"/>
        </w:rPr>
      </w:pPr>
    </w:p>
    <w:p w14:paraId="618ECCD0" w14:textId="77777777" w:rsidR="004C764D" w:rsidRDefault="004C764D" w:rsidP="001F22EF">
      <w:pPr>
        <w:spacing w:line="360" w:lineRule="auto"/>
        <w:jc w:val="center"/>
        <w:rPr>
          <w:rFonts w:ascii="Times New Roman" w:hAnsi="Times New Roman" w:cs="Times New Roman"/>
          <w:b/>
          <w:bCs/>
          <w:sz w:val="48"/>
          <w:szCs w:val="48"/>
        </w:rPr>
      </w:pPr>
    </w:p>
    <w:p w14:paraId="41329446" w14:textId="77777777" w:rsidR="004C764D" w:rsidRPr="00240606" w:rsidRDefault="004C764D" w:rsidP="001F22EF">
      <w:pPr>
        <w:spacing w:line="360" w:lineRule="auto"/>
        <w:jc w:val="center"/>
        <w:rPr>
          <w:rFonts w:ascii="Times New Roman" w:hAnsi="Times New Roman" w:cs="Times New Roman"/>
          <w:b/>
          <w:bCs/>
          <w:sz w:val="48"/>
          <w:szCs w:val="48"/>
        </w:rPr>
      </w:pPr>
    </w:p>
    <w:p w14:paraId="0C5AF222" w14:textId="2FA2A871" w:rsidR="004C764D" w:rsidRPr="004C764D" w:rsidRDefault="004C764D" w:rsidP="004C764D">
      <w:pPr>
        <w:jc w:val="center"/>
        <w:rPr>
          <w:rFonts w:ascii="Times New Roman" w:hAnsi="Times New Roman" w:cs="Times New Roman"/>
          <w:sz w:val="56"/>
          <w:szCs w:val="56"/>
        </w:rPr>
      </w:pPr>
      <w:r w:rsidRPr="0082582E">
        <w:rPr>
          <w:rFonts w:ascii="Times New Roman" w:hAnsi="Times New Roman" w:cs="Times New Roman"/>
          <w:b/>
          <w:bCs/>
          <w:sz w:val="28"/>
          <w:szCs w:val="28"/>
        </w:rPr>
        <w:t xml:space="preserve">Submission </w:t>
      </w:r>
      <w:r>
        <w:rPr>
          <w:rFonts w:ascii="Times New Roman" w:hAnsi="Times New Roman" w:cs="Times New Roman"/>
          <w:b/>
          <w:bCs/>
          <w:sz w:val="28"/>
          <w:szCs w:val="28"/>
        </w:rPr>
        <w:t>under</w:t>
      </w:r>
      <w:r w:rsidRPr="0082582E">
        <w:rPr>
          <w:rFonts w:ascii="Times New Roman" w:hAnsi="Times New Roman" w:cs="Times New Roman"/>
          <w:b/>
          <w:bCs/>
          <w:sz w:val="28"/>
          <w:szCs w:val="28"/>
        </w:rPr>
        <w:t xml:space="preserve"> the course: </w:t>
      </w:r>
      <w:r w:rsidRPr="001334E5">
        <w:rPr>
          <w:rFonts w:ascii="Times New Roman" w:hAnsi="Times New Roman" w:cs="Times New Roman"/>
          <w:b/>
          <w:bCs/>
          <w:sz w:val="28"/>
          <w:szCs w:val="28"/>
        </w:rPr>
        <w:t>Field Work II</w:t>
      </w:r>
    </w:p>
    <w:p w14:paraId="1807B588" w14:textId="77777777" w:rsidR="004C764D" w:rsidRPr="0082582E" w:rsidRDefault="004C764D" w:rsidP="004C764D">
      <w:pPr>
        <w:jc w:val="center"/>
        <w:rPr>
          <w:rFonts w:ascii="Times New Roman" w:hAnsi="Times New Roman" w:cs="Times New Roman"/>
          <w:b/>
          <w:bCs/>
          <w:sz w:val="28"/>
          <w:szCs w:val="28"/>
        </w:rPr>
      </w:pPr>
      <w:r w:rsidRPr="0082582E">
        <w:rPr>
          <w:rFonts w:ascii="Times New Roman" w:hAnsi="Times New Roman" w:cs="Times New Roman"/>
          <w:b/>
          <w:bCs/>
          <w:sz w:val="28"/>
          <w:szCs w:val="28"/>
        </w:rPr>
        <w:t>Bachelor of Science in Analytics and Sustainability Studies (BSASS),</w:t>
      </w:r>
    </w:p>
    <w:p w14:paraId="7ACBD834" w14:textId="77777777" w:rsidR="004C764D" w:rsidRPr="0082582E" w:rsidRDefault="004C764D" w:rsidP="004C764D">
      <w:pPr>
        <w:jc w:val="center"/>
        <w:rPr>
          <w:rFonts w:ascii="Times New Roman" w:hAnsi="Times New Roman" w:cs="Times New Roman"/>
          <w:b/>
          <w:bCs/>
          <w:sz w:val="28"/>
          <w:szCs w:val="28"/>
        </w:rPr>
      </w:pPr>
      <w:r w:rsidRPr="0082582E">
        <w:rPr>
          <w:rFonts w:ascii="Times New Roman" w:hAnsi="Times New Roman" w:cs="Times New Roman"/>
          <w:b/>
          <w:bCs/>
          <w:sz w:val="28"/>
          <w:szCs w:val="28"/>
        </w:rPr>
        <w:t>Tata Institute of Social Sciences, Mumbai</w:t>
      </w:r>
    </w:p>
    <w:p w14:paraId="79322CC3" w14:textId="77777777" w:rsidR="004C764D" w:rsidRPr="0082582E" w:rsidRDefault="004C764D" w:rsidP="004C764D">
      <w:pPr>
        <w:jc w:val="center"/>
        <w:rPr>
          <w:rFonts w:ascii="Times New Roman" w:hAnsi="Times New Roman" w:cs="Times New Roman"/>
          <w:b/>
          <w:bCs/>
          <w:sz w:val="28"/>
          <w:szCs w:val="28"/>
        </w:rPr>
      </w:pPr>
      <w:r w:rsidRPr="0082582E">
        <w:rPr>
          <w:rFonts w:ascii="Times New Roman" w:hAnsi="Times New Roman" w:cs="Times New Roman"/>
          <w:b/>
          <w:bCs/>
          <w:sz w:val="28"/>
          <w:szCs w:val="28"/>
        </w:rPr>
        <w:t>_______________________________________________</w:t>
      </w:r>
    </w:p>
    <w:p w14:paraId="14EC2802" w14:textId="05780F0D" w:rsidR="004C764D" w:rsidRPr="0082582E" w:rsidRDefault="004C764D" w:rsidP="004C764D">
      <w:pPr>
        <w:jc w:val="center"/>
        <w:rPr>
          <w:rFonts w:ascii="Times New Roman" w:hAnsi="Times New Roman" w:cs="Times New Roman"/>
          <w:b/>
          <w:bCs/>
          <w:sz w:val="28"/>
          <w:szCs w:val="28"/>
        </w:rPr>
      </w:pPr>
      <w:r w:rsidRPr="0082582E">
        <w:rPr>
          <w:rFonts w:ascii="Times New Roman" w:hAnsi="Times New Roman" w:cs="Times New Roman"/>
          <w:b/>
          <w:bCs/>
          <w:sz w:val="28"/>
          <w:szCs w:val="28"/>
        </w:rPr>
        <w:t>Submitted by:</w:t>
      </w:r>
      <w:r>
        <w:rPr>
          <w:rFonts w:ascii="Times New Roman" w:hAnsi="Times New Roman" w:cs="Times New Roman"/>
          <w:b/>
          <w:bCs/>
          <w:sz w:val="28"/>
          <w:szCs w:val="28"/>
        </w:rPr>
        <w:br/>
      </w:r>
      <w:r w:rsidRPr="0082582E">
        <w:rPr>
          <w:rFonts w:ascii="Times New Roman" w:hAnsi="Times New Roman" w:cs="Times New Roman"/>
          <w:b/>
          <w:bCs/>
          <w:sz w:val="28"/>
          <w:szCs w:val="28"/>
        </w:rPr>
        <w:br/>
        <w:t>Krisha Mitra (</w:t>
      </w:r>
      <w:r>
        <w:rPr>
          <w:rFonts w:ascii="Times New Roman" w:hAnsi="Times New Roman" w:cs="Times New Roman"/>
          <w:b/>
          <w:bCs/>
          <w:sz w:val="28"/>
          <w:szCs w:val="28"/>
        </w:rPr>
        <w:t>M2024BSASS</w:t>
      </w:r>
      <w:r w:rsidRPr="0082582E">
        <w:rPr>
          <w:rFonts w:ascii="Times New Roman" w:hAnsi="Times New Roman" w:cs="Times New Roman"/>
          <w:b/>
          <w:bCs/>
          <w:sz w:val="28"/>
          <w:szCs w:val="28"/>
        </w:rPr>
        <w:t>015)</w:t>
      </w:r>
    </w:p>
    <w:p w14:paraId="42C78F3F" w14:textId="77777777" w:rsidR="004C764D" w:rsidRPr="0082582E" w:rsidRDefault="004C764D" w:rsidP="004C764D">
      <w:pPr>
        <w:rPr>
          <w:rFonts w:ascii="Times New Roman" w:hAnsi="Times New Roman" w:cs="Times New Roman"/>
          <w:b/>
          <w:bCs/>
          <w:sz w:val="28"/>
          <w:szCs w:val="28"/>
        </w:rPr>
      </w:pPr>
    </w:p>
    <w:p w14:paraId="7CCF3867" w14:textId="77777777" w:rsidR="004C764D" w:rsidRPr="001334E5" w:rsidRDefault="004C764D" w:rsidP="004C764D">
      <w:pPr>
        <w:jc w:val="center"/>
        <w:rPr>
          <w:rFonts w:ascii="Times New Roman" w:hAnsi="Times New Roman" w:cs="Times New Roman"/>
          <w:b/>
          <w:bCs/>
          <w:sz w:val="28"/>
          <w:szCs w:val="28"/>
        </w:rPr>
      </w:pPr>
      <w:r>
        <w:rPr>
          <w:rFonts w:ascii="Times New Roman" w:hAnsi="Times New Roman" w:cs="Times New Roman"/>
          <w:b/>
          <w:bCs/>
          <w:sz w:val="28"/>
          <w:szCs w:val="28"/>
        </w:rPr>
        <w:t>20</w:t>
      </w:r>
      <w:r w:rsidRPr="0082582E">
        <w:rPr>
          <w:rFonts w:ascii="Times New Roman" w:hAnsi="Times New Roman" w:cs="Times New Roman"/>
          <w:b/>
          <w:bCs/>
          <w:sz w:val="28"/>
          <w:szCs w:val="28"/>
        </w:rPr>
        <w:t xml:space="preserve">th </w:t>
      </w:r>
      <w:r>
        <w:rPr>
          <w:rFonts w:ascii="Times New Roman" w:hAnsi="Times New Roman" w:cs="Times New Roman"/>
          <w:b/>
          <w:bCs/>
          <w:sz w:val="28"/>
          <w:szCs w:val="28"/>
        </w:rPr>
        <w:t>August</w:t>
      </w:r>
      <w:r w:rsidRPr="0082582E">
        <w:rPr>
          <w:rFonts w:ascii="Times New Roman" w:hAnsi="Times New Roman" w:cs="Times New Roman"/>
          <w:b/>
          <w:bCs/>
          <w:sz w:val="28"/>
          <w:szCs w:val="28"/>
        </w:rPr>
        <w:t xml:space="preserve"> 2026</w:t>
      </w:r>
    </w:p>
    <w:p w14:paraId="30CB61EA" w14:textId="77777777" w:rsidR="004C764D" w:rsidRDefault="004C764D">
      <w:pPr>
        <w:rPr>
          <w:rFonts w:ascii="Times New Roman" w:hAnsi="Times New Roman" w:cs="Times New Roman"/>
          <w:b/>
          <w:bCs/>
          <w:sz w:val="24"/>
          <w:szCs w:val="24"/>
        </w:rPr>
      </w:pPr>
      <w:r>
        <w:rPr>
          <w:rFonts w:ascii="Times New Roman" w:hAnsi="Times New Roman" w:cs="Times New Roman"/>
          <w:b/>
          <w:bCs/>
          <w:sz w:val="24"/>
          <w:szCs w:val="24"/>
        </w:rPr>
        <w:br w:type="page"/>
      </w:r>
    </w:p>
    <w:p w14:paraId="3CDD5AF7" w14:textId="0E24B1F3" w:rsidR="003E4CD6" w:rsidRPr="004C764D" w:rsidRDefault="003E4CD6" w:rsidP="004C764D">
      <w:pPr>
        <w:spacing w:line="360" w:lineRule="auto"/>
        <w:jc w:val="both"/>
        <w:rPr>
          <w:rFonts w:ascii="Times New Roman" w:hAnsi="Times New Roman" w:cs="Times New Roman"/>
          <w:b/>
          <w:bCs/>
          <w:sz w:val="28"/>
          <w:szCs w:val="28"/>
        </w:rPr>
      </w:pPr>
      <w:r w:rsidRPr="004C764D">
        <w:rPr>
          <w:rFonts w:ascii="Times New Roman" w:hAnsi="Times New Roman" w:cs="Times New Roman"/>
          <w:b/>
          <w:bCs/>
          <w:sz w:val="28"/>
          <w:szCs w:val="28"/>
        </w:rPr>
        <w:lastRenderedPageBreak/>
        <w:t>Abstract</w:t>
      </w:r>
    </w:p>
    <w:p w14:paraId="7FE9BBDD" w14:textId="2D069E23" w:rsidR="00033047" w:rsidRPr="00033047"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Rural homestays have increasingly been promoted as an alternative to conventional tourism in the Indian Himalayan region, with the potential to diversify rural livelihoods, strengthen community participation and preserve local culture. The idea that homestays are always sustainable can ignore important differences. These differences include how homestays start, who gets involved, what support they receive, and how they connect with local economies and natural resources. This paper compares two emerging rural tourism contexts encountered during an urban immersion in Uttarakhand: Satkhol and Sunkiya. The study draws on field observations, interactions with Aarohi, a focus group discussion with homestay owners in Satkhol, a case interaction with an established homestay owner, and observations and interactions with women-led homestays in Sunkiya. The comparison suggests that the two villages represent different stages and forms of rural tourism development</w:t>
      </w:r>
      <w:r w:rsidR="00033047">
        <w:rPr>
          <w:rFonts w:ascii="Times New Roman" w:hAnsi="Times New Roman" w:cs="Times New Roman"/>
          <w:sz w:val="24"/>
          <w:szCs w:val="24"/>
        </w:rPr>
        <w:t xml:space="preserve">. </w:t>
      </w:r>
      <w:r w:rsidR="00033047" w:rsidRPr="00033047">
        <w:rPr>
          <w:rFonts w:ascii="Times New Roman" w:hAnsi="Times New Roman" w:cs="Times New Roman"/>
          <w:sz w:val="24"/>
          <w:szCs w:val="24"/>
        </w:rPr>
        <w:t>Satkhol has a more established homestay model, while Sunkiya is still developing as a women-centred initiative. The paper looks at whether homestays can create local jobs, involve the community, and work well with local social and environmental conditions.</w:t>
      </w:r>
    </w:p>
    <w:p w14:paraId="549024AC" w14:textId="44D91821" w:rsidR="003E4CD6" w:rsidRPr="00033047" w:rsidRDefault="003E4CD6" w:rsidP="004C764D">
      <w:pPr>
        <w:spacing w:line="360" w:lineRule="auto"/>
        <w:jc w:val="both"/>
        <w:rPr>
          <w:rFonts w:ascii="Times New Roman" w:hAnsi="Times New Roman" w:cs="Times New Roman"/>
          <w:sz w:val="24"/>
          <w:szCs w:val="24"/>
        </w:rPr>
      </w:pPr>
      <w:r w:rsidRPr="00033047">
        <w:rPr>
          <w:rFonts w:ascii="Times New Roman" w:hAnsi="Times New Roman" w:cs="Times New Roman"/>
          <w:sz w:val="24"/>
          <w:szCs w:val="24"/>
        </w:rPr>
        <w:br w:type="page"/>
      </w:r>
    </w:p>
    <w:p w14:paraId="3C577C37" w14:textId="77777777" w:rsidR="003E4CD6" w:rsidRPr="004C764D" w:rsidRDefault="003E4CD6" w:rsidP="004C764D">
      <w:pPr>
        <w:spacing w:line="360" w:lineRule="auto"/>
        <w:jc w:val="both"/>
        <w:rPr>
          <w:rFonts w:ascii="Times New Roman" w:hAnsi="Times New Roman" w:cs="Times New Roman"/>
          <w:b/>
          <w:bCs/>
          <w:sz w:val="28"/>
          <w:szCs w:val="28"/>
        </w:rPr>
      </w:pPr>
      <w:r w:rsidRPr="004C764D">
        <w:rPr>
          <w:rFonts w:ascii="Times New Roman" w:hAnsi="Times New Roman" w:cs="Times New Roman"/>
          <w:b/>
          <w:bCs/>
          <w:sz w:val="28"/>
          <w:szCs w:val="28"/>
        </w:rPr>
        <w:lastRenderedPageBreak/>
        <w:t>1. Introduction and Problem Statement</w:t>
      </w:r>
    </w:p>
    <w:p w14:paraId="0CA4962C" w14:textId="5AFBB7F4"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Tourism in mountain areas is often an important source of income for local communities. It can create jobs and help people earn from local natural and cultural resources. However, more tourists can also put pressure on these resources. In areas with fragile environments and limited infrastructure, a rise in tourism can lead to problems such as waste, water shortages, traffic, and pressure on local facilities. These issues are common across the Indian Himalayan Region.</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 xml:space="preserve">This has increased interest in tourism models that involve local communities. Homestays are one such model, where tourists stay with local families and get to experience their food, culture, and way of life. For rural households, homestays can provide an additional source of income. </w:t>
      </w:r>
    </w:p>
    <w:p w14:paraId="2121E0B1" w14:textId="3675E01A"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The growth of homestays in Uttarakhand has also been supported by government policy. The state introduced the Atithi Uttarakhand Griha Awas (Homestay) scheme in 2015</w:t>
      </w:r>
      <w:r w:rsidR="00AF2638">
        <w:rPr>
          <w:rFonts w:ascii="Times New Roman" w:hAnsi="Times New Roman" w:cs="Times New Roman"/>
          <w:sz w:val="24"/>
          <w:szCs w:val="24"/>
        </w:rPr>
        <w:t xml:space="preserve"> (Government of Uttarakhand, 2015) and later introduced the Deen Dayal Upadhyaya Griha Awaas Homestay Development Scheme in 2018 </w:t>
      </w:r>
      <w:r w:rsidR="00AF2638" w:rsidRPr="00AF2638">
        <w:rPr>
          <w:rFonts w:ascii="Times New Roman" w:hAnsi="Times New Roman" w:cs="Times New Roman"/>
          <w:sz w:val="24"/>
          <w:szCs w:val="24"/>
        </w:rPr>
        <w:t>(Government of Uttarakhand, 2018)</w:t>
      </w:r>
      <w:r w:rsidRPr="00240606">
        <w:rPr>
          <w:rFonts w:ascii="Times New Roman" w:hAnsi="Times New Roman" w:cs="Times New Roman"/>
          <w:sz w:val="24"/>
          <w:szCs w:val="24"/>
        </w:rPr>
        <w:t>. The policies aim to bring tourism into rural areas while creating additional income and employment opportunities for local households. The 2018 framework also provides for financial assistance, registration, inspection, marketing support and the development of homestay clusters.  </w:t>
      </w:r>
    </w:p>
    <w:p w14:paraId="2BB5B471" w14:textId="77777777" w:rsidR="003E4CD6" w:rsidRPr="00582C99"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 xml:space="preserve">While the first half of the fieldwork was based in Nainital, the second half was based in Satkhol and Sunkiya. Instead of examining overtourism only through the problems created by large tourist concentrations, the village visits raised another question: </w:t>
      </w:r>
      <w:r w:rsidRPr="00582C99">
        <w:rPr>
          <w:rFonts w:ascii="Times New Roman" w:hAnsi="Times New Roman" w:cs="Times New Roman"/>
          <w:sz w:val="24"/>
          <w:szCs w:val="24"/>
        </w:rPr>
        <w:t>what might tourism look like when it is embedded within rural households and community life?</w:t>
      </w:r>
    </w:p>
    <w:p w14:paraId="248E04F2" w14:textId="24E4DF4F"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Satkhol and Sunkiya are fit for comparison because they represent different stages and forms of homestay development. Satkhol had a more established homestay system, with owners who had been running their homestays for several years. Our discussions focused on tourism, livelihoods, water availability, waste management and carrying capacity. In Sunkiya, we saw a newer, women-centred homestay initiative involving the Ghasyari women. One of the homestay owners we visited, Munni Devi ma'am, had started her homestay only about six months earlier.</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The comparison, therefore, does not attempt to determine which village has "better" homestays. Instead, it asks how the sustainability potential of rural homestays is shaped by their stage of development, livelihood context, institutional support and community participation.</w:t>
      </w:r>
    </w:p>
    <w:p w14:paraId="572BDF1F" w14:textId="77777777" w:rsidR="00582C99" w:rsidRDefault="00582C99" w:rsidP="004C764D">
      <w:pPr>
        <w:spacing w:line="360" w:lineRule="auto"/>
        <w:jc w:val="both"/>
        <w:rPr>
          <w:rFonts w:ascii="Times New Roman" w:hAnsi="Times New Roman" w:cs="Times New Roman"/>
          <w:sz w:val="24"/>
          <w:szCs w:val="24"/>
        </w:rPr>
      </w:pPr>
    </w:p>
    <w:p w14:paraId="77607FEB" w14:textId="732114E7"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lastRenderedPageBreak/>
        <w:t>This study focuses on three main questions:</w:t>
      </w:r>
    </w:p>
    <w:p w14:paraId="4C184990" w14:textId="77777777"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1. How do homestays help people diversify their sources of income in Satkhol and Sunkiya?</w:t>
      </w:r>
    </w:p>
    <w:p w14:paraId="5ACB086E" w14:textId="77777777"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2. How do community involvement, women's roles, and support from institutions affect the two homestay models?</w:t>
      </w:r>
    </w:p>
    <w:p w14:paraId="3A0F4C1D" w14:textId="77777777"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3. What environmental and social factors might impact the long-term success of homestay tourism in these two villages?</w:t>
      </w:r>
    </w:p>
    <w:p w14:paraId="77E7BA71" w14:textId="35707673" w:rsidR="001416FF"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The central argument of this paper is that rural homestays cannot be considered sustainable simply because they are small-scale or community-based. Satkhol and Sunkiya show two different stages of rural tourism development. Satkhol represents a more established homestay model, while Sunkiya is a newer, women-led initiative. The comparison shows that what makes a homestay sustainable depends on how tourism fits into the local community and its existing livelihoods and resources. </w:t>
      </w:r>
    </w:p>
    <w:p w14:paraId="67234118" w14:textId="5D9D2E1E" w:rsidR="001416FF" w:rsidRPr="004C764D" w:rsidRDefault="001416FF" w:rsidP="004C764D">
      <w:pPr>
        <w:spacing w:line="360" w:lineRule="auto"/>
        <w:jc w:val="both"/>
        <w:rPr>
          <w:rFonts w:ascii="Times New Roman" w:hAnsi="Times New Roman" w:cs="Times New Roman"/>
          <w:sz w:val="28"/>
          <w:szCs w:val="28"/>
        </w:rPr>
      </w:pPr>
      <w:r w:rsidRPr="00240606">
        <w:rPr>
          <w:rFonts w:ascii="Times New Roman" w:hAnsi="Times New Roman" w:cs="Times New Roman"/>
          <w:sz w:val="24"/>
          <w:szCs w:val="24"/>
        </w:rPr>
        <w:br w:type="page"/>
      </w:r>
      <w:r w:rsidR="003E4CD6" w:rsidRPr="004C764D">
        <w:rPr>
          <w:rFonts w:ascii="Times New Roman" w:hAnsi="Times New Roman" w:cs="Times New Roman"/>
          <w:b/>
          <w:bCs/>
          <w:sz w:val="28"/>
          <w:szCs w:val="28"/>
        </w:rPr>
        <w:lastRenderedPageBreak/>
        <w:t>2. Literature Review</w:t>
      </w:r>
    </w:p>
    <w:p w14:paraId="63CAD8F7" w14:textId="77777777" w:rsidR="004C764D" w:rsidRPr="004C764D" w:rsidRDefault="004C764D" w:rsidP="004C764D">
      <w:pPr>
        <w:spacing w:line="360" w:lineRule="auto"/>
        <w:jc w:val="both"/>
        <w:rPr>
          <w:rFonts w:ascii="Times New Roman" w:hAnsi="Times New Roman" w:cs="Times New Roman"/>
          <w:sz w:val="24"/>
          <w:szCs w:val="24"/>
        </w:rPr>
      </w:pPr>
    </w:p>
    <w:p w14:paraId="62A86F55" w14:textId="77777777" w:rsidR="003E4CD6" w:rsidRPr="00240606" w:rsidRDefault="003E4CD6" w:rsidP="004C764D">
      <w:pPr>
        <w:spacing w:line="360" w:lineRule="auto"/>
        <w:jc w:val="both"/>
        <w:rPr>
          <w:rFonts w:ascii="Times New Roman" w:hAnsi="Times New Roman" w:cs="Times New Roman"/>
          <w:b/>
          <w:bCs/>
          <w:sz w:val="24"/>
          <w:szCs w:val="24"/>
        </w:rPr>
      </w:pPr>
      <w:r w:rsidRPr="00240606">
        <w:rPr>
          <w:rFonts w:ascii="Times New Roman" w:hAnsi="Times New Roman" w:cs="Times New Roman"/>
          <w:b/>
          <w:bCs/>
          <w:sz w:val="24"/>
          <w:szCs w:val="24"/>
        </w:rPr>
        <w:t>2.1 Rural Tourism and Sustainable Development</w:t>
      </w:r>
    </w:p>
    <w:p w14:paraId="617CA2EB" w14:textId="6B340D79"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Rural tourism is increasingly seen as a way to support local economies and create more livelihood opportunities. This is especially relevant in mountain regions, where people often depend on agriculture, livestock, natural resources, and small businesses for their income.</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Rural tourism can also help spread tourism beyond major tourist destinations. By bringing visitors to smaller villages and communities, it can create local jobs and provide rural households with an additional source of income. This can reduce their dependence on a single livelihood.</w:t>
      </w:r>
    </w:p>
    <w:p w14:paraId="0582FED8" w14:textId="77777777" w:rsidR="003E4CD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However, rural tourism does not automatically produce sustainable development. Tourism can introduce new demands on water, energy, waste systems and land. It can also alter local social relations and cultural practices. The question is therefore not whether tourism occurs in a rural area, but how tourism is integrated into the social, economic and ecological systems of that area.</w:t>
      </w:r>
    </w:p>
    <w:p w14:paraId="373F4E54" w14:textId="77777777" w:rsidR="00AF2638" w:rsidRPr="00240606" w:rsidRDefault="00AF2638" w:rsidP="004C764D">
      <w:pPr>
        <w:spacing w:line="360" w:lineRule="auto"/>
        <w:jc w:val="both"/>
        <w:rPr>
          <w:rFonts w:ascii="Times New Roman" w:hAnsi="Times New Roman" w:cs="Times New Roman"/>
          <w:sz w:val="24"/>
          <w:szCs w:val="24"/>
        </w:rPr>
      </w:pPr>
    </w:p>
    <w:p w14:paraId="38A077A0" w14:textId="77777777"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Research from the Tons River Basin in Uttarakhand also shows that homestays are closely connected with existing rural livelihoods. Sati and Banerjee (2025), in a study of five villages, found that homestay tourism existed alongside agriculture and horticulture rather than completely replacing them. Local food, fruits and vegetables were also part of the tourism experience. At the same time, the study found that many homestays faced inadequate water supply, electricity, internet and sanitation facilities. This shows that the economic potential of homestays can exist alongside basic infrastructure constraints.  </w:t>
      </w:r>
    </w:p>
    <w:p w14:paraId="2A251760" w14:textId="5004D514" w:rsidR="00C50587"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This is relevant to Satkhol and Sunkiya because the fieldwork also showed that tourism was closely connected with other household activities. In Sunkiya, for example, the homestay was part of a household that also cultivated fruits and vegetables and kept livestock. The tourism activity, therefore, formed one part of a wider livelihood system rather than functioning as a completely separate business.</w:t>
      </w:r>
    </w:p>
    <w:p w14:paraId="646F4BC9" w14:textId="77777777" w:rsidR="00C50587" w:rsidRPr="00240606" w:rsidRDefault="00C50587"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br w:type="page"/>
      </w:r>
    </w:p>
    <w:p w14:paraId="7BCA37AA" w14:textId="77777777" w:rsidR="00C50587" w:rsidRPr="00240606" w:rsidRDefault="00C50587" w:rsidP="004C764D">
      <w:pPr>
        <w:keepNext/>
        <w:spacing w:line="360" w:lineRule="auto"/>
        <w:jc w:val="both"/>
        <w:rPr>
          <w:rFonts w:ascii="Times New Roman" w:hAnsi="Times New Roman" w:cs="Times New Roman"/>
        </w:rPr>
      </w:pPr>
      <w:r w:rsidRPr="00240606">
        <w:rPr>
          <w:rFonts w:ascii="Times New Roman" w:hAnsi="Times New Roman" w:cs="Times New Roman"/>
          <w:noProof/>
          <w:sz w:val="24"/>
          <w:szCs w:val="24"/>
        </w:rPr>
        <w:lastRenderedPageBreak/>
        <w:drawing>
          <wp:inline distT="0" distB="0" distL="0" distR="0" wp14:anchorId="048AEB06" wp14:editId="5F4B3839">
            <wp:extent cx="5731510" cy="2647950"/>
            <wp:effectExtent l="0" t="0" r="2540" b="0"/>
            <wp:docPr id="1245932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32700" name="Picture 1245932700"/>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647950"/>
                    </a:xfrm>
                    <a:prstGeom prst="rect">
                      <a:avLst/>
                    </a:prstGeom>
                  </pic:spPr>
                </pic:pic>
              </a:graphicData>
            </a:graphic>
          </wp:inline>
        </w:drawing>
      </w:r>
    </w:p>
    <w:p w14:paraId="4059CC71" w14:textId="71A809A2" w:rsidR="00B454AA" w:rsidRPr="00240606" w:rsidRDefault="00C50587" w:rsidP="004C764D">
      <w:pPr>
        <w:pStyle w:val="Caption"/>
        <w:spacing w:line="360" w:lineRule="auto"/>
        <w:jc w:val="both"/>
        <w:rPr>
          <w:rFonts w:ascii="Times New Roman" w:hAnsi="Times New Roman" w:cs="Times New Roman"/>
          <w:color w:val="000000" w:themeColor="text1"/>
          <w:sz w:val="24"/>
          <w:szCs w:val="24"/>
        </w:rPr>
      </w:pPr>
      <w:r w:rsidRPr="00240606">
        <w:rPr>
          <w:rFonts w:ascii="Times New Roman" w:hAnsi="Times New Roman" w:cs="Times New Roman"/>
          <w:color w:val="000000" w:themeColor="text1"/>
          <w:sz w:val="24"/>
          <w:szCs w:val="24"/>
        </w:rPr>
        <w:t xml:space="preserve">Figure </w:t>
      </w:r>
      <w:r w:rsidRPr="00240606">
        <w:rPr>
          <w:rFonts w:ascii="Times New Roman" w:hAnsi="Times New Roman" w:cs="Times New Roman"/>
          <w:color w:val="000000" w:themeColor="text1"/>
          <w:sz w:val="24"/>
          <w:szCs w:val="24"/>
        </w:rPr>
        <w:fldChar w:fldCharType="begin"/>
      </w:r>
      <w:r w:rsidRPr="00240606">
        <w:rPr>
          <w:rFonts w:ascii="Times New Roman" w:hAnsi="Times New Roman" w:cs="Times New Roman"/>
          <w:color w:val="000000" w:themeColor="text1"/>
          <w:sz w:val="24"/>
          <w:szCs w:val="24"/>
        </w:rPr>
        <w:instrText xml:space="preserve"> SEQ Figure \* ARABIC </w:instrText>
      </w:r>
      <w:r w:rsidRPr="00240606">
        <w:rPr>
          <w:rFonts w:ascii="Times New Roman" w:hAnsi="Times New Roman" w:cs="Times New Roman"/>
          <w:color w:val="000000" w:themeColor="text1"/>
          <w:sz w:val="24"/>
          <w:szCs w:val="24"/>
        </w:rPr>
        <w:fldChar w:fldCharType="separate"/>
      </w:r>
      <w:r w:rsidR="001416FF" w:rsidRPr="00240606">
        <w:rPr>
          <w:rFonts w:ascii="Times New Roman" w:hAnsi="Times New Roman" w:cs="Times New Roman"/>
          <w:noProof/>
          <w:color w:val="000000" w:themeColor="text1"/>
          <w:sz w:val="24"/>
          <w:szCs w:val="24"/>
        </w:rPr>
        <w:t>1</w:t>
      </w:r>
      <w:r w:rsidRPr="00240606">
        <w:rPr>
          <w:rFonts w:ascii="Times New Roman" w:hAnsi="Times New Roman" w:cs="Times New Roman"/>
          <w:color w:val="000000" w:themeColor="text1"/>
          <w:sz w:val="24"/>
          <w:szCs w:val="24"/>
        </w:rPr>
        <w:fldChar w:fldCharType="end"/>
      </w:r>
      <w:r w:rsidRPr="00240606">
        <w:rPr>
          <w:rFonts w:ascii="Times New Roman" w:hAnsi="Times New Roman" w:cs="Times New Roman"/>
          <w:color w:val="000000" w:themeColor="text1"/>
          <w:sz w:val="24"/>
          <w:szCs w:val="24"/>
        </w:rPr>
        <w:t>:  Jeevan Bhai’s Campsite, Sunkiya Village</w:t>
      </w:r>
    </w:p>
    <w:p w14:paraId="7F1A18C7" w14:textId="1003043F" w:rsidR="003E4CD6" w:rsidRPr="00240606" w:rsidRDefault="00783843" w:rsidP="004C764D">
      <w:pPr>
        <w:spacing w:line="360" w:lineRule="auto"/>
        <w:jc w:val="both"/>
        <w:rPr>
          <w:rFonts w:ascii="Times New Roman" w:hAnsi="Times New Roman" w:cs="Times New Roman"/>
          <w:b/>
          <w:bCs/>
          <w:sz w:val="24"/>
          <w:szCs w:val="24"/>
        </w:rPr>
      </w:pPr>
      <w:r w:rsidRPr="00240606">
        <w:rPr>
          <w:rFonts w:ascii="Times New Roman" w:hAnsi="Times New Roman" w:cs="Times New Roman"/>
          <w:b/>
          <w:bCs/>
          <w:sz w:val="24"/>
          <w:szCs w:val="24"/>
        </w:rPr>
        <w:br/>
      </w:r>
    </w:p>
    <w:p w14:paraId="27357A76" w14:textId="77777777" w:rsidR="003E4CD6" w:rsidRPr="00240606" w:rsidRDefault="003E4CD6" w:rsidP="004C764D">
      <w:pPr>
        <w:spacing w:line="360" w:lineRule="auto"/>
        <w:jc w:val="both"/>
        <w:rPr>
          <w:rFonts w:ascii="Times New Roman" w:hAnsi="Times New Roman" w:cs="Times New Roman"/>
          <w:b/>
          <w:bCs/>
          <w:sz w:val="24"/>
          <w:szCs w:val="24"/>
        </w:rPr>
      </w:pPr>
      <w:r w:rsidRPr="00240606">
        <w:rPr>
          <w:rFonts w:ascii="Times New Roman" w:hAnsi="Times New Roman" w:cs="Times New Roman"/>
          <w:b/>
          <w:bCs/>
          <w:sz w:val="24"/>
          <w:szCs w:val="24"/>
        </w:rPr>
        <w:t>2.2 Homestays as Livelihood Diversification</w:t>
      </w:r>
    </w:p>
    <w:p w14:paraId="470568DB" w14:textId="5BC6C09D"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Rural homestays can give families an additional source of income without replacing farming or other existing activities. Families can use resources they already have, such as rooms, food, crops, local knowledge, and hospitality skills, to provide tourism services.</w:t>
      </w:r>
      <w:r w:rsidR="00AF2638">
        <w:rPr>
          <w:rFonts w:ascii="Times New Roman" w:hAnsi="Times New Roman" w:cs="Times New Roman"/>
          <w:sz w:val="24"/>
          <w:szCs w:val="24"/>
        </w:rPr>
        <w:t xml:space="preserve"> </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This connects with the Sustainable Livelihoods Framework by Scoones (1998), which looks at livelihoods as a combination of different resources and activities rather than a single job. A family may depend on farming, livestock, and a homestay at the same time. This perspective is useful for understanding Satkhol and Sunkiya, where we saw that homestays were closely connected to everyday rural life rather than operating as separate tourism businesses.</w:t>
      </w:r>
    </w:p>
    <w:p w14:paraId="1DFBC09F" w14:textId="695518D4"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Joshi and Bahuguna (2023) found that homestay owners in Uttarakhand had both economic and personal reasons for starting their businesses. Earning extra income and getting government support were important, while some owners also wanted to preserve their ancestral homes and local heritage. This shows that homestays can provide income while keeping families connected to their resources and culture.</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This is particularly useful for understanding Satkhol, where the interaction with Maya ma'am showed that the homestay was not presented only as a commercial activity. Her emphasis on relationships with guests and sharing local culture reflects the wider idea that the value of a homestay can come from the interaction between livelihood and place.</w:t>
      </w:r>
    </w:p>
    <w:p w14:paraId="5E1959F8" w14:textId="03BE7D71" w:rsidR="003E4CD6" w:rsidRDefault="00AF2638" w:rsidP="004C764D">
      <w:pPr>
        <w:spacing w:line="360" w:lineRule="auto"/>
        <w:jc w:val="both"/>
        <w:rPr>
          <w:rFonts w:ascii="Times New Roman" w:hAnsi="Times New Roman" w:cs="Times New Roman"/>
          <w:sz w:val="24"/>
          <w:szCs w:val="24"/>
        </w:rPr>
      </w:pPr>
      <w:r w:rsidRPr="00AF2638">
        <w:rPr>
          <w:rFonts w:ascii="Times New Roman" w:hAnsi="Times New Roman" w:cs="Times New Roman"/>
          <w:sz w:val="24"/>
          <w:szCs w:val="24"/>
        </w:rPr>
        <w:lastRenderedPageBreak/>
        <w:t>Sharma and Kumar (2024) discuss homestay tourism in the Indian Himalayas as an alternative tourism model and highlight the challenges involved in its development.</w:t>
      </w:r>
      <w:r w:rsidR="001F22EF">
        <w:rPr>
          <w:rFonts w:ascii="Times New Roman" w:hAnsi="Times New Roman" w:cs="Times New Roman"/>
          <w:sz w:val="24"/>
          <w:szCs w:val="24"/>
        </w:rPr>
        <w:t xml:space="preserve"> </w:t>
      </w:r>
      <w:r w:rsidR="003E4CD6" w:rsidRPr="00240606">
        <w:rPr>
          <w:rFonts w:ascii="Times New Roman" w:hAnsi="Times New Roman" w:cs="Times New Roman"/>
          <w:sz w:val="24"/>
          <w:szCs w:val="24"/>
        </w:rPr>
        <w:t>Limited access to finance, difficulty in attracting customers, problems in receiving subsidies and complicated documentation were reported by homestay owners in Uttarakhand.</w:t>
      </w:r>
    </w:p>
    <w:p w14:paraId="060BAA6F" w14:textId="77777777" w:rsidR="004C764D" w:rsidRPr="00240606" w:rsidRDefault="004C764D" w:rsidP="004C764D">
      <w:pPr>
        <w:spacing w:line="360" w:lineRule="auto"/>
        <w:jc w:val="both"/>
        <w:rPr>
          <w:rFonts w:ascii="Times New Roman" w:hAnsi="Times New Roman" w:cs="Times New Roman"/>
          <w:sz w:val="24"/>
          <w:szCs w:val="24"/>
        </w:rPr>
      </w:pPr>
    </w:p>
    <w:p w14:paraId="0D9D6081" w14:textId="1E91B508" w:rsidR="003E4CD6" w:rsidRPr="004C764D"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b/>
          <w:bCs/>
          <w:sz w:val="24"/>
          <w:szCs w:val="24"/>
        </w:rPr>
        <w:t xml:space="preserve">2.3 Women and Community Participation </w:t>
      </w:r>
    </w:p>
    <w:p w14:paraId="38209A7C" w14:textId="0B447FDE"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Women's participation can create livelihood opportunities, but participation itself does not necessarily mean greater agency or decision-making power.</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 xml:space="preserve">A study of K Village in Nainital District provides an important example of why community participation matters in rural tourism. Imran and Nguyen (2018) found that local residents were interested in tourism and believed that homestays could create employment and income opportunities, but the existing tourism activity had not produced significant economic benefits for households. The authors linked this partly to the limited involvement of the wider community in tourism development. </w:t>
      </w:r>
    </w:p>
    <w:p w14:paraId="55D354BF" w14:textId="77777777"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The study also found that many local residents were not involved in decisions about tourism development. At the same time, they raised concerns about pollution and environmental damage. This shows that tourism does not automatically become community-based just because it takes place in a village. Local people need to be involved in decision-making and should also benefit from tourism.</w:t>
      </w:r>
    </w:p>
    <w:p w14:paraId="61F9733E" w14:textId="15C59DCE" w:rsidR="003E4CD6" w:rsidRPr="004C764D"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However, women’s participation does not always mean empowerment. Running a homestay can also add to their existing household and farming work. What matters is whether women gain more control over income, decisions, and the business.</w:t>
      </w:r>
      <w:r w:rsidR="004C764D">
        <w:rPr>
          <w:rFonts w:ascii="Times New Roman" w:hAnsi="Times New Roman" w:cs="Times New Roman"/>
          <w:sz w:val="24"/>
          <w:szCs w:val="24"/>
        </w:rPr>
        <w:t xml:space="preserve"> </w:t>
      </w:r>
      <w:r w:rsidR="008B35FA" w:rsidRPr="00240606">
        <w:rPr>
          <w:rFonts w:ascii="Times New Roman" w:hAnsi="Times New Roman" w:cs="Times New Roman"/>
          <w:sz w:val="24"/>
          <w:szCs w:val="24"/>
        </w:rPr>
        <w:t>This is relevant in Sunkiya because the homestay initiative is linked to local women and the Ghasyari identity. Leads one to ponder whether tourism can create new livelihood opportunities while staying connected to the existing community.</w:t>
      </w:r>
      <w:r w:rsidR="001416FF" w:rsidRPr="00240606">
        <w:rPr>
          <w:rFonts w:ascii="Times New Roman" w:hAnsi="Times New Roman" w:cs="Times New Roman"/>
          <w:sz w:val="24"/>
          <w:szCs w:val="24"/>
        </w:rPr>
        <w:br w:type="page"/>
      </w:r>
      <w:r w:rsidRPr="004C764D">
        <w:rPr>
          <w:rFonts w:ascii="Times New Roman" w:hAnsi="Times New Roman" w:cs="Times New Roman"/>
          <w:b/>
          <w:bCs/>
          <w:sz w:val="28"/>
          <w:szCs w:val="28"/>
        </w:rPr>
        <w:lastRenderedPageBreak/>
        <w:t>3. Theoretical Framework</w:t>
      </w:r>
    </w:p>
    <w:p w14:paraId="1CEE326A" w14:textId="77777777" w:rsidR="001416FF" w:rsidRPr="00240606" w:rsidRDefault="001416FF" w:rsidP="004C764D">
      <w:pPr>
        <w:spacing w:line="360" w:lineRule="auto"/>
        <w:jc w:val="both"/>
        <w:rPr>
          <w:rFonts w:ascii="Times New Roman" w:hAnsi="Times New Roman" w:cs="Times New Roman"/>
          <w:b/>
          <w:bCs/>
          <w:sz w:val="24"/>
          <w:szCs w:val="24"/>
        </w:rPr>
      </w:pPr>
    </w:p>
    <w:p w14:paraId="39C70450" w14:textId="77777777" w:rsidR="003E4CD6" w:rsidRPr="00240606" w:rsidRDefault="003E4CD6" w:rsidP="004C764D">
      <w:pPr>
        <w:spacing w:line="360" w:lineRule="auto"/>
        <w:jc w:val="both"/>
        <w:rPr>
          <w:rFonts w:ascii="Times New Roman" w:hAnsi="Times New Roman" w:cs="Times New Roman"/>
          <w:b/>
          <w:bCs/>
          <w:sz w:val="24"/>
          <w:szCs w:val="24"/>
        </w:rPr>
      </w:pPr>
      <w:r w:rsidRPr="00240606">
        <w:rPr>
          <w:rFonts w:ascii="Times New Roman" w:hAnsi="Times New Roman" w:cs="Times New Roman"/>
          <w:b/>
          <w:bCs/>
          <w:sz w:val="24"/>
          <w:szCs w:val="24"/>
        </w:rPr>
        <w:t>3.1 Sustainable Livelihoods Framework</w:t>
      </w:r>
    </w:p>
    <w:p w14:paraId="22FD5565" w14:textId="77777777" w:rsidR="003E4CD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The Sustainable Livelihoods Framework is used to understand how homestays interact with the wider livelihood systems of households. In the two villages, these livelihood resources include household space, agricultural land and livestock, local knowledge and hospitality skills, community networks, and income from tourism. The framework, therefore, allows the study to look beyond whether homestays generate income and consider how tourism interacts with the different resources that households already depend on.</w:t>
      </w:r>
    </w:p>
    <w:p w14:paraId="70A87C2E" w14:textId="77777777" w:rsidR="004C764D" w:rsidRPr="00240606" w:rsidRDefault="004C764D" w:rsidP="004C764D">
      <w:pPr>
        <w:spacing w:line="360" w:lineRule="auto"/>
        <w:jc w:val="both"/>
        <w:rPr>
          <w:rFonts w:ascii="Times New Roman" w:hAnsi="Times New Roman" w:cs="Times New Roman"/>
          <w:sz w:val="24"/>
          <w:szCs w:val="24"/>
        </w:rPr>
      </w:pPr>
    </w:p>
    <w:p w14:paraId="6BC1BF7B" w14:textId="77777777" w:rsidR="003E4CD6" w:rsidRPr="00240606" w:rsidRDefault="003E4CD6" w:rsidP="004C764D">
      <w:pPr>
        <w:spacing w:line="360" w:lineRule="auto"/>
        <w:jc w:val="both"/>
        <w:rPr>
          <w:rFonts w:ascii="Times New Roman" w:hAnsi="Times New Roman" w:cs="Times New Roman"/>
          <w:b/>
          <w:bCs/>
          <w:sz w:val="24"/>
          <w:szCs w:val="24"/>
        </w:rPr>
      </w:pPr>
      <w:r w:rsidRPr="00240606">
        <w:rPr>
          <w:rFonts w:ascii="Times New Roman" w:hAnsi="Times New Roman" w:cs="Times New Roman"/>
          <w:b/>
          <w:bCs/>
          <w:sz w:val="24"/>
          <w:szCs w:val="24"/>
        </w:rPr>
        <w:t>3.2 Community-Based Tourism as an Analytical Lens</w:t>
      </w:r>
    </w:p>
    <w:p w14:paraId="45C50693" w14:textId="38991FE6"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The second lens used in the study is community-based tourism (CBT). Community-based tourism places emphasis on local participation, community involvement and the distribution of tourism benefits. It is particularly relevant where tourism is presented as a mechanism for rural development.</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The relevance of this lens lies in the distinction between tourism in a community and tourism owned or shaped by a community. A tourism business located in a village does not necessarily benefit the village collectively. Community participation, local decision-making and the retention of economic benefits therefore become important indicators.</w:t>
      </w:r>
    </w:p>
    <w:p w14:paraId="5B1108A7" w14:textId="1DB6C0A4" w:rsidR="003E4CD6" w:rsidRPr="00240606" w:rsidRDefault="003E4CD6" w:rsidP="004C764D">
      <w:pPr>
        <w:spacing w:line="360" w:lineRule="auto"/>
        <w:jc w:val="both"/>
        <w:rPr>
          <w:rFonts w:ascii="Times New Roman" w:hAnsi="Times New Roman" w:cs="Times New Roman"/>
          <w:sz w:val="24"/>
          <w:szCs w:val="24"/>
        </w:rPr>
      </w:pPr>
      <w:r w:rsidRPr="004C764D">
        <w:rPr>
          <w:rFonts w:ascii="Times New Roman" w:hAnsi="Times New Roman" w:cs="Times New Roman"/>
          <w:sz w:val="24"/>
          <w:szCs w:val="24"/>
        </w:rPr>
        <w:t>The combination of the two frameworks allows the study to examine both the household-level livelihood effects of homestays and the community-level processes through which tourism develops.</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 xml:space="preserve">The K Village study is useful here because it shows that community-based tourism depends on more than the presence of tourism businesses within a village. The researchers found that residents wanted to participate in tourism, but limited involvement in tourism planning reduced the extent to which the community benefited from it. </w:t>
      </w:r>
    </w:p>
    <w:p w14:paraId="3785E6EE" w14:textId="77777777"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 xml:space="preserve">Government policy is another part of the institutional environment in which community-based tourism develops. Uttarakhand's homestay guidelines include provisions for registration, inspection, financial assistance, marketing, and training. The guidelines also encourage the use of traditional architecture and include provisions related to waste management, water, community harmony and other basic facilities. </w:t>
      </w:r>
    </w:p>
    <w:p w14:paraId="3990E48E" w14:textId="0556FC9A"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lastRenderedPageBreak/>
        <w:t>Lakhera et al. (2025) interviewed 155 homestay owners in Uttarakhand and found that government support was mainly provided through registration and financial help. The study also found that following government guidelines was linked to better income, skill development, and employment.</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This provides a useful institutional lens for the present study. The development of a homestay is therefore shaped not only by the household's own resources but also by access to finance, training, registration, marketing and wider support networks.</w:t>
      </w:r>
    </w:p>
    <w:p w14:paraId="5B0FDD60" w14:textId="77777777" w:rsidR="001416FF" w:rsidRPr="00240606" w:rsidRDefault="001416FF" w:rsidP="004C764D">
      <w:pPr>
        <w:spacing w:line="360" w:lineRule="auto"/>
        <w:jc w:val="both"/>
        <w:rPr>
          <w:rFonts w:ascii="Times New Roman" w:hAnsi="Times New Roman" w:cs="Times New Roman"/>
          <w:b/>
          <w:bCs/>
          <w:sz w:val="24"/>
          <w:szCs w:val="24"/>
        </w:rPr>
      </w:pPr>
      <w:r w:rsidRPr="00240606">
        <w:rPr>
          <w:rFonts w:ascii="Times New Roman" w:hAnsi="Times New Roman" w:cs="Times New Roman"/>
          <w:b/>
          <w:bCs/>
          <w:sz w:val="24"/>
          <w:szCs w:val="24"/>
        </w:rPr>
        <w:br w:type="page"/>
      </w:r>
    </w:p>
    <w:p w14:paraId="069CE877" w14:textId="5920D172" w:rsidR="003E4CD6" w:rsidRPr="004C764D" w:rsidRDefault="003E4CD6" w:rsidP="004C764D">
      <w:pPr>
        <w:spacing w:line="360" w:lineRule="auto"/>
        <w:jc w:val="both"/>
        <w:rPr>
          <w:rFonts w:ascii="Times New Roman" w:hAnsi="Times New Roman" w:cs="Times New Roman"/>
          <w:b/>
          <w:bCs/>
          <w:sz w:val="28"/>
          <w:szCs w:val="28"/>
        </w:rPr>
      </w:pPr>
      <w:r w:rsidRPr="004C764D">
        <w:rPr>
          <w:rFonts w:ascii="Times New Roman" w:hAnsi="Times New Roman" w:cs="Times New Roman"/>
          <w:b/>
          <w:bCs/>
          <w:sz w:val="28"/>
          <w:szCs w:val="28"/>
        </w:rPr>
        <w:lastRenderedPageBreak/>
        <w:t>4. Methodology</w:t>
      </w:r>
    </w:p>
    <w:p w14:paraId="20002960" w14:textId="3129C87F"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This study uses a comparative qualitative case study approach based on field observations and interactions during the Urban Immersion in Uttarakhand.</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The two cases selected were Satkhol and Sunkiya, both rural settlements visited during the fieldwork. They were selected because both have homestay activities, but are at different stages of tourism development. This allows us to compare how tourism and homestays are developing in the two communities.</w:t>
      </w:r>
    </w:p>
    <w:p w14:paraId="4EA5FCD9" w14:textId="5BFF095A"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The Satkhol case involved talking with Aarohi, hosting a discussion with local homestay owners, and having a detailed conversation with a homestay owner who started her business in 2013. I observed the homestay and its surrounding agricultural area. We discussed topics like tourism, jobs, water availability, waste management, and how much the area can handle. I also met a long-term resident from Delhi who has been living in a room connected to the homestay since 2021. This added another view on the changing patterns of rural living and work.</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The Sunkiya case mainly focuses on visiting the Ghasyari women's homestay initiative. I interacted with Munni Devi, who started her homestay about six months before my visit. I observed her homestay and her agricultural land and talked with Jeevan Bhai about the growth of homestays in the village. During my visit, I also observed agricultural production and livestock.</w:t>
      </w:r>
    </w:p>
    <w:p w14:paraId="7DF1E54C" w14:textId="4FAC106C" w:rsidR="001416FF"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The data w</w:t>
      </w:r>
      <w:r w:rsidR="004C764D">
        <w:rPr>
          <w:rFonts w:ascii="Times New Roman" w:hAnsi="Times New Roman" w:cs="Times New Roman"/>
          <w:sz w:val="24"/>
          <w:szCs w:val="24"/>
        </w:rPr>
        <w:t xml:space="preserve">as </w:t>
      </w:r>
      <w:r w:rsidRPr="00240606">
        <w:rPr>
          <w:rFonts w:ascii="Times New Roman" w:hAnsi="Times New Roman" w:cs="Times New Roman"/>
          <w:sz w:val="24"/>
          <w:szCs w:val="24"/>
        </w:rPr>
        <w:t>recorded through field notes and reflective observations rather than through a statistically representative sample. Consequently, the study does not attempt to generalise the findings to all homestays in Uttarakhand. Instead, it uses the two cases to identify patterns, contrasts, and questions regarding the sustainability of rural homestay tourism.</w:t>
      </w:r>
      <w:r w:rsidR="001F1098" w:rsidRPr="00240606">
        <w:rPr>
          <w:rFonts w:ascii="Times New Roman" w:hAnsi="Times New Roman" w:cs="Times New Roman"/>
          <w:sz w:val="24"/>
          <w:szCs w:val="24"/>
        </w:rPr>
        <w:t xml:space="preserve"> </w:t>
      </w:r>
      <w:r w:rsidR="004C764D">
        <w:rPr>
          <w:rFonts w:ascii="Times New Roman" w:hAnsi="Times New Roman" w:cs="Times New Roman"/>
          <w:sz w:val="24"/>
          <w:szCs w:val="24"/>
        </w:rPr>
        <w:t xml:space="preserve"> </w:t>
      </w:r>
      <w:r w:rsidR="001F1098" w:rsidRPr="00240606">
        <w:rPr>
          <w:rFonts w:ascii="Times New Roman" w:hAnsi="Times New Roman" w:cs="Times New Roman"/>
          <w:sz w:val="24"/>
          <w:szCs w:val="24"/>
        </w:rPr>
        <w:t>To make the comparison more systematic, a qualitative scoring framework was developed during the analysis to compare the two case sites across recurring themes. Each dimension was assigned a score from 1 to 5 based on the strength of evidence from field observations and interactions.</w:t>
      </w:r>
    </w:p>
    <w:p w14:paraId="34162185" w14:textId="77777777" w:rsidR="001F1098" w:rsidRPr="00240606" w:rsidRDefault="001F1098" w:rsidP="004C764D">
      <w:pPr>
        <w:spacing w:line="360" w:lineRule="auto"/>
        <w:jc w:val="both"/>
        <w:rPr>
          <w:rFonts w:ascii="Times New Roman" w:hAnsi="Times New Roman" w:cs="Times New Roman"/>
          <w:b/>
          <w:bCs/>
          <w:sz w:val="24"/>
          <w:szCs w:val="24"/>
        </w:rPr>
      </w:pPr>
    </w:p>
    <w:p w14:paraId="315E54D7" w14:textId="77777777" w:rsidR="004C764D" w:rsidRDefault="004C764D" w:rsidP="004C764D">
      <w:pPr>
        <w:spacing w:line="360" w:lineRule="auto"/>
        <w:jc w:val="both"/>
        <w:rPr>
          <w:rFonts w:ascii="Times New Roman" w:hAnsi="Times New Roman" w:cs="Times New Roman"/>
          <w:b/>
          <w:bCs/>
          <w:sz w:val="24"/>
          <w:szCs w:val="24"/>
        </w:rPr>
      </w:pPr>
    </w:p>
    <w:p w14:paraId="3CE56533" w14:textId="77777777" w:rsidR="004C764D" w:rsidRDefault="004C764D" w:rsidP="004C764D">
      <w:pPr>
        <w:spacing w:line="360" w:lineRule="auto"/>
        <w:jc w:val="both"/>
        <w:rPr>
          <w:rFonts w:ascii="Times New Roman" w:hAnsi="Times New Roman" w:cs="Times New Roman"/>
          <w:b/>
          <w:bCs/>
          <w:sz w:val="24"/>
          <w:szCs w:val="24"/>
        </w:rPr>
      </w:pPr>
    </w:p>
    <w:p w14:paraId="1B8443F9" w14:textId="77777777" w:rsidR="004C764D" w:rsidRDefault="004C764D" w:rsidP="004C764D">
      <w:pPr>
        <w:spacing w:line="360" w:lineRule="auto"/>
        <w:jc w:val="both"/>
        <w:rPr>
          <w:rFonts w:ascii="Times New Roman" w:hAnsi="Times New Roman" w:cs="Times New Roman"/>
          <w:b/>
          <w:bCs/>
          <w:sz w:val="28"/>
          <w:szCs w:val="28"/>
        </w:rPr>
      </w:pPr>
    </w:p>
    <w:p w14:paraId="4B479A9D" w14:textId="77777777" w:rsidR="004C764D" w:rsidRDefault="004C764D" w:rsidP="004C764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0E687A19" w14:textId="16FEE298" w:rsidR="001416FF" w:rsidRPr="004C764D" w:rsidRDefault="003E4CD6" w:rsidP="004C764D">
      <w:pPr>
        <w:spacing w:line="360" w:lineRule="auto"/>
        <w:jc w:val="both"/>
        <w:rPr>
          <w:rFonts w:ascii="Times New Roman" w:hAnsi="Times New Roman" w:cs="Times New Roman"/>
          <w:b/>
          <w:bCs/>
          <w:sz w:val="28"/>
          <w:szCs w:val="28"/>
        </w:rPr>
      </w:pPr>
      <w:r w:rsidRPr="004C764D">
        <w:rPr>
          <w:rFonts w:ascii="Times New Roman" w:hAnsi="Times New Roman" w:cs="Times New Roman"/>
          <w:b/>
          <w:bCs/>
          <w:sz w:val="28"/>
          <w:szCs w:val="28"/>
        </w:rPr>
        <w:lastRenderedPageBreak/>
        <w:t>5.</w:t>
      </w:r>
      <w:r w:rsidR="00A10F78" w:rsidRPr="004C764D">
        <w:rPr>
          <w:rFonts w:ascii="Times New Roman" w:hAnsi="Times New Roman" w:cs="Times New Roman"/>
          <w:b/>
          <w:bCs/>
          <w:sz w:val="28"/>
          <w:szCs w:val="28"/>
        </w:rPr>
        <w:t xml:space="preserve"> </w:t>
      </w:r>
      <w:r w:rsidR="00DA2358" w:rsidRPr="004C764D">
        <w:rPr>
          <w:rFonts w:ascii="Times New Roman" w:hAnsi="Times New Roman" w:cs="Times New Roman"/>
          <w:b/>
          <w:bCs/>
          <w:sz w:val="28"/>
          <w:szCs w:val="28"/>
        </w:rPr>
        <w:t>Findi</w:t>
      </w:r>
      <w:r w:rsidR="002D767D" w:rsidRPr="004C764D">
        <w:rPr>
          <w:rFonts w:ascii="Times New Roman" w:hAnsi="Times New Roman" w:cs="Times New Roman"/>
          <w:b/>
          <w:bCs/>
          <w:sz w:val="28"/>
          <w:szCs w:val="28"/>
        </w:rPr>
        <w:t>ngs an</w:t>
      </w:r>
      <w:r w:rsidR="00A10F78" w:rsidRPr="004C764D">
        <w:rPr>
          <w:rFonts w:ascii="Times New Roman" w:hAnsi="Times New Roman" w:cs="Times New Roman"/>
          <w:b/>
          <w:bCs/>
          <w:sz w:val="28"/>
          <w:szCs w:val="28"/>
        </w:rPr>
        <w:t>d</w:t>
      </w:r>
      <w:r w:rsidRPr="004C764D">
        <w:rPr>
          <w:rFonts w:ascii="Times New Roman" w:hAnsi="Times New Roman" w:cs="Times New Roman"/>
          <w:b/>
          <w:bCs/>
          <w:sz w:val="28"/>
          <w:szCs w:val="28"/>
        </w:rPr>
        <w:t xml:space="preserve"> Analysis</w:t>
      </w:r>
    </w:p>
    <w:p w14:paraId="2866EF7E" w14:textId="2A7C6B81" w:rsidR="001F1098" w:rsidRPr="00240606" w:rsidRDefault="00A10F78" w:rsidP="004C764D">
      <w:pPr>
        <w:spacing w:line="360" w:lineRule="auto"/>
        <w:jc w:val="both"/>
        <w:rPr>
          <w:rFonts w:ascii="Times New Roman" w:hAnsi="Times New Roman" w:cs="Times New Roman"/>
          <w:sz w:val="24"/>
          <w:szCs w:val="24"/>
        </w:rPr>
      </w:pPr>
      <w:r w:rsidRPr="00240606">
        <w:rPr>
          <w:rFonts w:ascii="Times New Roman" w:hAnsi="Times New Roman" w:cs="Times New Roman"/>
          <w:b/>
          <w:bCs/>
          <w:sz w:val="24"/>
          <w:szCs w:val="24"/>
        </w:rPr>
        <w:br/>
      </w:r>
      <w:r w:rsidR="001F1098" w:rsidRPr="00240606">
        <w:rPr>
          <w:rFonts w:ascii="Times New Roman" w:hAnsi="Times New Roman" w:cs="Times New Roman"/>
          <w:sz w:val="24"/>
          <w:szCs w:val="24"/>
        </w:rPr>
        <w:t xml:space="preserve">The field </w:t>
      </w:r>
      <w:r w:rsidR="00033047">
        <w:rPr>
          <w:rFonts w:ascii="Times New Roman" w:hAnsi="Times New Roman" w:cs="Times New Roman"/>
          <w:sz w:val="24"/>
          <w:szCs w:val="24"/>
        </w:rPr>
        <w:t>notes and observations</w:t>
      </w:r>
      <w:r w:rsidR="001F1098" w:rsidRPr="00240606">
        <w:rPr>
          <w:rFonts w:ascii="Times New Roman" w:hAnsi="Times New Roman" w:cs="Times New Roman"/>
          <w:sz w:val="24"/>
          <w:szCs w:val="24"/>
        </w:rPr>
        <w:t xml:space="preserve"> w</w:t>
      </w:r>
      <w:r w:rsidR="00033047">
        <w:rPr>
          <w:rFonts w:ascii="Times New Roman" w:hAnsi="Times New Roman" w:cs="Times New Roman"/>
          <w:sz w:val="24"/>
          <w:szCs w:val="24"/>
        </w:rPr>
        <w:t>ere</w:t>
      </w:r>
      <w:r w:rsidR="001F1098" w:rsidRPr="00240606">
        <w:rPr>
          <w:rFonts w:ascii="Times New Roman" w:hAnsi="Times New Roman" w:cs="Times New Roman"/>
          <w:sz w:val="24"/>
          <w:szCs w:val="24"/>
        </w:rPr>
        <w:t xml:space="preserve"> analysed by looking for common themes from observations, interviews, group discussions, and informal conversations. These themes were then compared between Satkhol and Sunkiya, focusing on livelihoods, women’s participation, agriculture, institutional support, and environmental issues. The findings were linked to the Sustainable Livelihoods Framework and community-based tourism to understand what they mean for the sustainability of rural homestays.</w:t>
      </w:r>
    </w:p>
    <w:p w14:paraId="119785FC" w14:textId="0FFE83C0" w:rsidR="001416FF" w:rsidRPr="00240606" w:rsidRDefault="001416FF" w:rsidP="004C764D">
      <w:pPr>
        <w:spacing w:line="360" w:lineRule="auto"/>
        <w:jc w:val="both"/>
        <w:rPr>
          <w:rFonts w:ascii="Times New Roman" w:hAnsi="Times New Roman" w:cs="Times New Roman"/>
          <w:b/>
          <w:bCs/>
          <w:sz w:val="24"/>
          <w:szCs w:val="24"/>
        </w:rPr>
      </w:pPr>
      <w:r w:rsidRPr="00240606">
        <w:rPr>
          <w:rFonts w:ascii="Times New Roman" w:hAnsi="Times New Roman" w:cs="Times New Roman"/>
          <w:b/>
          <w:bCs/>
          <w:sz w:val="24"/>
          <w:szCs w:val="24"/>
        </w:rPr>
        <w:br/>
      </w:r>
    </w:p>
    <w:p w14:paraId="76A94ED7" w14:textId="4FC88360" w:rsidR="00287B00" w:rsidRPr="00240606" w:rsidRDefault="001F1098" w:rsidP="004C764D">
      <w:pPr>
        <w:spacing w:line="360" w:lineRule="auto"/>
        <w:jc w:val="both"/>
        <w:rPr>
          <w:rFonts w:ascii="Times New Roman" w:hAnsi="Times New Roman" w:cs="Times New Roman"/>
          <w:b/>
          <w:bCs/>
          <w:sz w:val="24"/>
          <w:szCs w:val="24"/>
        </w:rPr>
      </w:pPr>
      <w:r w:rsidRPr="00240606">
        <w:rPr>
          <w:rFonts w:ascii="Times New Roman" w:hAnsi="Times New Roman" w:cs="Times New Roman"/>
          <w:b/>
          <w:bCs/>
          <w:sz w:val="24"/>
          <w:szCs w:val="24"/>
        </w:rPr>
        <w:br w:type="page"/>
      </w:r>
      <w:r w:rsidR="00505BA8" w:rsidRPr="00240606">
        <w:rPr>
          <w:rFonts w:ascii="Times New Roman" w:hAnsi="Times New Roman" w:cs="Times New Roman"/>
          <w:b/>
          <w:bCs/>
          <w:sz w:val="24"/>
          <w:szCs w:val="24"/>
        </w:rPr>
        <w:lastRenderedPageBreak/>
        <w:t>5.1 Comparative Analytical Framework</w:t>
      </w:r>
    </w:p>
    <w:p w14:paraId="72C6735A" w14:textId="424432E4" w:rsidR="00F538EF" w:rsidRPr="00240606" w:rsidRDefault="00287B00"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The field data was analysed qualitatively by identifying recurring themes from field observations, interviews, group discussions, and conversations. These themes were compared across Satkhol and Sunkiya to identify similarities and differences in livelihoods, women's participation, local economic linkages, institutional support, cultural integration, and environmental pressures. To make the comparison more systematic, a qualitative assessment framework was developed based on these themes. Each dimension was assigned a score from 1 to 5 based on the strength of evidence observed during the fieldwork. The scores are analytical judgements rather than quantitative measurements and are used only to compare the two cases.</w:t>
      </w:r>
    </w:p>
    <w:p w14:paraId="226DD70B" w14:textId="21FFC78E" w:rsidR="00A91E87" w:rsidRPr="00240606" w:rsidRDefault="00A91E87" w:rsidP="004C764D">
      <w:pPr>
        <w:pStyle w:val="Caption"/>
        <w:keepNext/>
        <w:spacing w:line="360" w:lineRule="auto"/>
        <w:jc w:val="both"/>
        <w:rPr>
          <w:rFonts w:ascii="Times New Roman" w:hAnsi="Times New Roman" w:cs="Times New Roman"/>
        </w:rPr>
      </w:pPr>
      <w:r w:rsidRPr="00240606">
        <w:rPr>
          <w:rFonts w:ascii="Times New Roman" w:hAnsi="Times New Roman" w:cs="Times New Roman"/>
        </w:rPr>
        <w:t xml:space="preserve">Table </w:t>
      </w:r>
      <w:r w:rsidR="00505BA8" w:rsidRPr="00240606">
        <w:rPr>
          <w:rFonts w:ascii="Times New Roman" w:hAnsi="Times New Roman" w:cs="Times New Roman"/>
        </w:rPr>
        <w:fldChar w:fldCharType="begin"/>
      </w:r>
      <w:r w:rsidR="00505BA8" w:rsidRPr="00240606">
        <w:rPr>
          <w:rFonts w:ascii="Times New Roman" w:hAnsi="Times New Roman" w:cs="Times New Roman"/>
        </w:rPr>
        <w:instrText xml:space="preserve"> SEQ Table \* ARABIC </w:instrText>
      </w:r>
      <w:r w:rsidR="00505BA8" w:rsidRPr="00240606">
        <w:rPr>
          <w:rFonts w:ascii="Times New Roman" w:hAnsi="Times New Roman" w:cs="Times New Roman"/>
        </w:rPr>
        <w:fldChar w:fldCharType="separate"/>
      </w:r>
      <w:r w:rsidR="00505BA8" w:rsidRPr="00240606">
        <w:rPr>
          <w:rFonts w:ascii="Times New Roman" w:hAnsi="Times New Roman" w:cs="Times New Roman"/>
          <w:noProof/>
        </w:rPr>
        <w:t>1</w:t>
      </w:r>
      <w:r w:rsidR="00505BA8" w:rsidRPr="00240606">
        <w:rPr>
          <w:rFonts w:ascii="Times New Roman" w:hAnsi="Times New Roman" w:cs="Times New Roman"/>
          <w:noProof/>
        </w:rPr>
        <w:fldChar w:fldCharType="end"/>
      </w:r>
      <w:r w:rsidRPr="00240606">
        <w:rPr>
          <w:rFonts w:ascii="Times New Roman" w:hAnsi="Times New Roman" w:cs="Times New Roman"/>
        </w:rPr>
        <w:t>: Qualitative Assessment of Homestay Sustainability in Satkhol and Sunkiya</w:t>
      </w:r>
    </w:p>
    <w:tbl>
      <w:tblPr>
        <w:tblStyle w:val="TableGrid"/>
        <w:tblW w:w="0" w:type="auto"/>
        <w:tblLook w:val="04A0" w:firstRow="1" w:lastRow="0" w:firstColumn="1" w:lastColumn="0" w:noHBand="0" w:noVBand="1"/>
      </w:tblPr>
      <w:tblGrid>
        <w:gridCol w:w="3005"/>
        <w:gridCol w:w="3005"/>
        <w:gridCol w:w="3006"/>
      </w:tblGrid>
      <w:tr w:rsidR="00A91E87" w:rsidRPr="00240606" w14:paraId="1ED0F347" w14:textId="77777777" w:rsidTr="000154C1">
        <w:tc>
          <w:tcPr>
            <w:tcW w:w="3005" w:type="dxa"/>
          </w:tcPr>
          <w:p w14:paraId="251E5CFE" w14:textId="77777777" w:rsidR="00A91E87" w:rsidRPr="00240606" w:rsidRDefault="00A91E87"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Dimension</w:t>
            </w:r>
          </w:p>
        </w:tc>
        <w:tc>
          <w:tcPr>
            <w:tcW w:w="3005" w:type="dxa"/>
          </w:tcPr>
          <w:p w14:paraId="18E2469B" w14:textId="77777777" w:rsidR="00A91E87" w:rsidRPr="00240606" w:rsidRDefault="00A91E87"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Satkhol</w:t>
            </w:r>
          </w:p>
        </w:tc>
        <w:tc>
          <w:tcPr>
            <w:tcW w:w="3006" w:type="dxa"/>
          </w:tcPr>
          <w:p w14:paraId="3BBB62FA" w14:textId="77777777" w:rsidR="00A91E87" w:rsidRPr="00240606" w:rsidRDefault="00A91E87"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Sunkiya</w:t>
            </w:r>
          </w:p>
        </w:tc>
      </w:tr>
      <w:tr w:rsidR="00A91E87" w:rsidRPr="00240606" w14:paraId="532EA11B" w14:textId="77777777" w:rsidTr="000154C1">
        <w:tc>
          <w:tcPr>
            <w:tcW w:w="3005" w:type="dxa"/>
          </w:tcPr>
          <w:p w14:paraId="5111B831" w14:textId="77777777" w:rsidR="00A91E87" w:rsidRPr="00240606" w:rsidRDefault="00A91E87"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Livelihood Diversification</w:t>
            </w:r>
          </w:p>
        </w:tc>
        <w:tc>
          <w:tcPr>
            <w:tcW w:w="3005" w:type="dxa"/>
          </w:tcPr>
          <w:p w14:paraId="2FD421FE" w14:textId="77777777" w:rsidR="00A91E87" w:rsidRPr="00240606" w:rsidRDefault="00A91E87"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5</w:t>
            </w:r>
          </w:p>
        </w:tc>
        <w:tc>
          <w:tcPr>
            <w:tcW w:w="3006" w:type="dxa"/>
          </w:tcPr>
          <w:p w14:paraId="7828E037" w14:textId="77777777" w:rsidR="00A91E87" w:rsidRPr="00240606" w:rsidRDefault="00A91E87"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5</w:t>
            </w:r>
          </w:p>
        </w:tc>
      </w:tr>
      <w:tr w:rsidR="00A91E87" w:rsidRPr="00240606" w14:paraId="1981CBDE" w14:textId="77777777" w:rsidTr="000154C1">
        <w:tc>
          <w:tcPr>
            <w:tcW w:w="3005" w:type="dxa"/>
          </w:tcPr>
          <w:p w14:paraId="3EE75DDA" w14:textId="77777777" w:rsidR="00A91E87" w:rsidRPr="00240606" w:rsidRDefault="00A91E87"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Women’s Participation</w:t>
            </w:r>
          </w:p>
        </w:tc>
        <w:tc>
          <w:tcPr>
            <w:tcW w:w="3005" w:type="dxa"/>
          </w:tcPr>
          <w:p w14:paraId="4D085441" w14:textId="77777777" w:rsidR="00A91E87" w:rsidRPr="00240606" w:rsidRDefault="00A91E87"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4</w:t>
            </w:r>
          </w:p>
        </w:tc>
        <w:tc>
          <w:tcPr>
            <w:tcW w:w="3006" w:type="dxa"/>
          </w:tcPr>
          <w:p w14:paraId="53951635" w14:textId="77777777" w:rsidR="00A91E87" w:rsidRPr="00240606" w:rsidRDefault="00A91E87"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5</w:t>
            </w:r>
          </w:p>
        </w:tc>
      </w:tr>
      <w:tr w:rsidR="00A91E87" w:rsidRPr="00240606" w14:paraId="0F7143F3" w14:textId="77777777" w:rsidTr="000154C1">
        <w:tc>
          <w:tcPr>
            <w:tcW w:w="3005" w:type="dxa"/>
          </w:tcPr>
          <w:p w14:paraId="2376CA9C" w14:textId="77777777" w:rsidR="00A91E87" w:rsidRPr="00240606" w:rsidRDefault="00A91E87"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Local Economic Linkages</w:t>
            </w:r>
          </w:p>
        </w:tc>
        <w:tc>
          <w:tcPr>
            <w:tcW w:w="3005" w:type="dxa"/>
          </w:tcPr>
          <w:p w14:paraId="1F4776AD" w14:textId="77777777" w:rsidR="00A91E87" w:rsidRPr="00240606" w:rsidRDefault="00A91E87"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4</w:t>
            </w:r>
          </w:p>
        </w:tc>
        <w:tc>
          <w:tcPr>
            <w:tcW w:w="3006" w:type="dxa"/>
          </w:tcPr>
          <w:p w14:paraId="13A08093" w14:textId="77777777" w:rsidR="00A91E87" w:rsidRPr="00240606" w:rsidRDefault="00A91E87"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5</w:t>
            </w:r>
          </w:p>
        </w:tc>
      </w:tr>
      <w:tr w:rsidR="00A91E87" w:rsidRPr="00240606" w14:paraId="511BB30A" w14:textId="77777777" w:rsidTr="000154C1">
        <w:tc>
          <w:tcPr>
            <w:tcW w:w="3005" w:type="dxa"/>
          </w:tcPr>
          <w:p w14:paraId="07486BC4" w14:textId="77777777" w:rsidR="00A91E87" w:rsidRPr="00240606" w:rsidRDefault="00A91E87"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Institutional &amp; Community Support</w:t>
            </w:r>
          </w:p>
        </w:tc>
        <w:tc>
          <w:tcPr>
            <w:tcW w:w="3005" w:type="dxa"/>
          </w:tcPr>
          <w:p w14:paraId="005AF14F" w14:textId="77777777" w:rsidR="00A91E87" w:rsidRPr="00240606" w:rsidRDefault="00A91E87"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5</w:t>
            </w:r>
          </w:p>
        </w:tc>
        <w:tc>
          <w:tcPr>
            <w:tcW w:w="3006" w:type="dxa"/>
          </w:tcPr>
          <w:p w14:paraId="3BE81288" w14:textId="77777777" w:rsidR="00A91E87" w:rsidRPr="00240606" w:rsidRDefault="00A91E87"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4</w:t>
            </w:r>
          </w:p>
        </w:tc>
      </w:tr>
      <w:tr w:rsidR="00A91E87" w:rsidRPr="00240606" w14:paraId="624C6865" w14:textId="77777777" w:rsidTr="000154C1">
        <w:tc>
          <w:tcPr>
            <w:tcW w:w="3005" w:type="dxa"/>
          </w:tcPr>
          <w:p w14:paraId="2EB0615F" w14:textId="77777777" w:rsidR="00A91E87" w:rsidRPr="00240606" w:rsidRDefault="00A91E87"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Cultural Integration</w:t>
            </w:r>
          </w:p>
        </w:tc>
        <w:tc>
          <w:tcPr>
            <w:tcW w:w="3005" w:type="dxa"/>
          </w:tcPr>
          <w:p w14:paraId="3F945214" w14:textId="77777777" w:rsidR="00A91E87" w:rsidRPr="00240606" w:rsidRDefault="00A91E87"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5</w:t>
            </w:r>
          </w:p>
        </w:tc>
        <w:tc>
          <w:tcPr>
            <w:tcW w:w="3006" w:type="dxa"/>
          </w:tcPr>
          <w:p w14:paraId="381D9791" w14:textId="77777777" w:rsidR="00A91E87" w:rsidRPr="00240606" w:rsidRDefault="00A91E87"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4</w:t>
            </w:r>
          </w:p>
        </w:tc>
      </w:tr>
      <w:tr w:rsidR="00A91E87" w:rsidRPr="00240606" w14:paraId="3E698969" w14:textId="77777777" w:rsidTr="000154C1">
        <w:tc>
          <w:tcPr>
            <w:tcW w:w="3005" w:type="dxa"/>
          </w:tcPr>
          <w:p w14:paraId="284DD8EA" w14:textId="77777777" w:rsidR="00A91E87" w:rsidRPr="00240606" w:rsidRDefault="00A91E87"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Environmental Resilience</w:t>
            </w:r>
          </w:p>
        </w:tc>
        <w:tc>
          <w:tcPr>
            <w:tcW w:w="3005" w:type="dxa"/>
          </w:tcPr>
          <w:p w14:paraId="4D8743E7" w14:textId="77777777" w:rsidR="00A91E87" w:rsidRPr="00240606" w:rsidRDefault="00A91E87"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2</w:t>
            </w:r>
          </w:p>
        </w:tc>
        <w:tc>
          <w:tcPr>
            <w:tcW w:w="3006" w:type="dxa"/>
          </w:tcPr>
          <w:p w14:paraId="5944C5EA" w14:textId="77777777" w:rsidR="00A91E87" w:rsidRPr="00240606" w:rsidRDefault="00A91E87"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3</w:t>
            </w:r>
          </w:p>
        </w:tc>
      </w:tr>
    </w:tbl>
    <w:p w14:paraId="2E9DA022" w14:textId="77777777" w:rsidR="008B35FA" w:rsidRPr="00240606" w:rsidRDefault="008B35FA" w:rsidP="004C764D">
      <w:pPr>
        <w:spacing w:line="360" w:lineRule="auto"/>
        <w:jc w:val="both"/>
        <w:rPr>
          <w:rFonts w:ascii="Times New Roman" w:hAnsi="Times New Roman" w:cs="Times New Roman"/>
          <w:sz w:val="24"/>
          <w:szCs w:val="24"/>
        </w:rPr>
      </w:pPr>
    </w:p>
    <w:p w14:paraId="555CBF3B" w14:textId="309C64BF" w:rsidR="001416FF" w:rsidRPr="00240606" w:rsidRDefault="000154C1" w:rsidP="004C764D">
      <w:pPr>
        <w:keepNext/>
        <w:spacing w:line="360" w:lineRule="auto"/>
        <w:jc w:val="both"/>
        <w:rPr>
          <w:rFonts w:ascii="Times New Roman" w:hAnsi="Times New Roman" w:cs="Times New Roman"/>
        </w:rPr>
      </w:pPr>
      <w:r w:rsidRPr="00240606">
        <w:rPr>
          <w:rFonts w:ascii="Times New Roman" w:hAnsi="Times New Roman" w:cs="Times New Roman"/>
          <w:noProof/>
        </w:rPr>
        <w:drawing>
          <wp:inline distT="0" distB="0" distL="0" distR="0" wp14:anchorId="2FC875F0" wp14:editId="6D7A1FF5">
            <wp:extent cx="4572000" cy="2743200"/>
            <wp:effectExtent l="0" t="0" r="0" b="0"/>
            <wp:docPr id="16121769" name="Chart 1">
              <a:extLst xmlns:a="http://schemas.openxmlformats.org/drawingml/2006/main">
                <a:ext uri="{FF2B5EF4-FFF2-40B4-BE49-F238E27FC236}">
                  <a16:creationId xmlns:a16="http://schemas.microsoft.com/office/drawing/2014/main" id="{DAD574CB-9296-2496-85CE-F605EA2D26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293A35A" w14:textId="68130DB6" w:rsidR="000154C1" w:rsidRPr="00240606" w:rsidRDefault="001416FF" w:rsidP="004C764D">
      <w:pPr>
        <w:pStyle w:val="Caption"/>
        <w:spacing w:line="360" w:lineRule="auto"/>
        <w:jc w:val="both"/>
        <w:rPr>
          <w:rFonts w:ascii="Times New Roman" w:hAnsi="Times New Roman" w:cs="Times New Roman"/>
        </w:rPr>
      </w:pPr>
      <w:r w:rsidRPr="00240606">
        <w:rPr>
          <w:rFonts w:ascii="Times New Roman" w:hAnsi="Times New Roman" w:cs="Times New Roman"/>
        </w:rPr>
        <w:t xml:space="preserve">Figure </w:t>
      </w:r>
      <w:r w:rsidRPr="00240606">
        <w:rPr>
          <w:rFonts w:ascii="Times New Roman" w:hAnsi="Times New Roman" w:cs="Times New Roman"/>
        </w:rPr>
        <w:fldChar w:fldCharType="begin"/>
      </w:r>
      <w:r w:rsidRPr="00240606">
        <w:rPr>
          <w:rFonts w:ascii="Times New Roman" w:hAnsi="Times New Roman" w:cs="Times New Roman"/>
        </w:rPr>
        <w:instrText xml:space="preserve"> SEQ Figure \* ARABIC </w:instrText>
      </w:r>
      <w:r w:rsidRPr="00240606">
        <w:rPr>
          <w:rFonts w:ascii="Times New Roman" w:hAnsi="Times New Roman" w:cs="Times New Roman"/>
        </w:rPr>
        <w:fldChar w:fldCharType="separate"/>
      </w:r>
      <w:r w:rsidRPr="00240606">
        <w:rPr>
          <w:rFonts w:ascii="Times New Roman" w:hAnsi="Times New Roman" w:cs="Times New Roman"/>
          <w:noProof/>
        </w:rPr>
        <w:t>2</w:t>
      </w:r>
      <w:r w:rsidRPr="00240606">
        <w:rPr>
          <w:rFonts w:ascii="Times New Roman" w:hAnsi="Times New Roman" w:cs="Times New Roman"/>
          <w:noProof/>
        </w:rPr>
        <w:fldChar w:fldCharType="end"/>
      </w:r>
      <w:r w:rsidRPr="00240606">
        <w:rPr>
          <w:rFonts w:ascii="Times New Roman" w:hAnsi="Times New Roman" w:cs="Times New Roman"/>
        </w:rPr>
        <w:t>: Comparative Qualitative Assessment of Homestay Sustainability: Satkhol and Sunkiya</w:t>
      </w:r>
    </w:p>
    <w:p w14:paraId="7D3A5EC7" w14:textId="77777777" w:rsidR="00240606" w:rsidRPr="00240606" w:rsidRDefault="00240606" w:rsidP="004C764D">
      <w:pPr>
        <w:spacing w:line="360" w:lineRule="auto"/>
        <w:jc w:val="both"/>
        <w:rPr>
          <w:rFonts w:ascii="Times New Roman" w:hAnsi="Times New Roman" w:cs="Times New Roman"/>
          <w:b/>
          <w:bCs/>
        </w:rPr>
      </w:pPr>
      <w:r w:rsidRPr="00240606">
        <w:rPr>
          <w:rFonts w:ascii="Times New Roman" w:hAnsi="Times New Roman" w:cs="Times New Roman"/>
          <w:b/>
          <w:bCs/>
        </w:rPr>
        <w:lastRenderedPageBreak/>
        <w:t>Rationale:</w:t>
      </w:r>
    </w:p>
    <w:p w14:paraId="21B8C548" w14:textId="490FBA82" w:rsidR="00F538EF" w:rsidRPr="00240606" w:rsidRDefault="00F538EF"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The scores show how strongly different aspects of homestay tourism were seen in Satkhol and Sunkiya. The scores were based on field observations and conversations during the visits. Higher scores indicate that an aspect was more visible or important in the case. The chart is used to compare the two villages and is not a statistical measurement.</w:t>
      </w:r>
      <w:r w:rsidR="00240606" w:rsidRPr="00240606">
        <w:rPr>
          <w:rFonts w:ascii="Times New Roman" w:hAnsi="Times New Roman" w:cs="Times New Roman"/>
          <w:sz w:val="24"/>
          <w:szCs w:val="24"/>
        </w:rPr>
        <w:t xml:space="preserve"> The scores show how strongly different aspects of homestay tourism were seen in Satkhol and Sunkiya. The scores were based on field observations and conversations during the visits. Higher scores indicate that an aspect was more visible or important in the case. The chart is used to compare the two villages and is not a statistical measurement.</w:t>
      </w:r>
    </w:p>
    <w:p w14:paraId="7A9D23B5" w14:textId="77777777" w:rsidR="001416FF" w:rsidRPr="00240606" w:rsidRDefault="001416FF" w:rsidP="004C764D">
      <w:pPr>
        <w:pStyle w:val="Caption"/>
        <w:keepNext/>
        <w:spacing w:line="360" w:lineRule="auto"/>
        <w:jc w:val="both"/>
        <w:rPr>
          <w:rFonts w:ascii="Times New Roman" w:hAnsi="Times New Roman" w:cs="Times New Roman"/>
        </w:rPr>
      </w:pPr>
    </w:p>
    <w:p w14:paraId="53A47A98" w14:textId="77777777" w:rsidR="001416FF" w:rsidRPr="00240606" w:rsidRDefault="001416FF" w:rsidP="004C764D">
      <w:pPr>
        <w:pStyle w:val="Caption"/>
        <w:keepNext/>
        <w:spacing w:line="360" w:lineRule="auto"/>
        <w:jc w:val="both"/>
        <w:rPr>
          <w:rFonts w:ascii="Times New Roman" w:hAnsi="Times New Roman" w:cs="Times New Roman"/>
        </w:rPr>
      </w:pPr>
    </w:p>
    <w:p w14:paraId="193A3594" w14:textId="6278CFCB" w:rsidR="001416FF" w:rsidRPr="00240606" w:rsidRDefault="00505BA8" w:rsidP="004C764D">
      <w:pPr>
        <w:spacing w:line="360" w:lineRule="auto"/>
        <w:jc w:val="both"/>
        <w:rPr>
          <w:rFonts w:ascii="Times New Roman" w:hAnsi="Times New Roman" w:cs="Times New Roman"/>
          <w:i/>
          <w:iCs/>
          <w:color w:val="44546A" w:themeColor="text2"/>
          <w:sz w:val="18"/>
          <w:szCs w:val="18"/>
        </w:rPr>
      </w:pPr>
      <w:r w:rsidRPr="00240606">
        <w:rPr>
          <w:rFonts w:ascii="Times New Roman" w:hAnsi="Times New Roman" w:cs="Times New Roman"/>
        </w:rPr>
        <w:t xml:space="preserve">Table </w:t>
      </w:r>
      <w:r w:rsidRPr="00240606">
        <w:rPr>
          <w:rFonts w:ascii="Times New Roman" w:hAnsi="Times New Roman" w:cs="Times New Roman"/>
        </w:rPr>
        <w:fldChar w:fldCharType="begin"/>
      </w:r>
      <w:r w:rsidRPr="00240606">
        <w:rPr>
          <w:rFonts w:ascii="Times New Roman" w:hAnsi="Times New Roman" w:cs="Times New Roman"/>
        </w:rPr>
        <w:instrText xml:space="preserve"> SEQ Table \* ARABIC </w:instrText>
      </w:r>
      <w:r w:rsidRPr="00240606">
        <w:rPr>
          <w:rFonts w:ascii="Times New Roman" w:hAnsi="Times New Roman" w:cs="Times New Roman"/>
        </w:rPr>
        <w:fldChar w:fldCharType="separate"/>
      </w:r>
      <w:r w:rsidRPr="00240606">
        <w:rPr>
          <w:rFonts w:ascii="Times New Roman" w:hAnsi="Times New Roman" w:cs="Times New Roman"/>
          <w:noProof/>
        </w:rPr>
        <w:t>2</w:t>
      </w:r>
      <w:r w:rsidRPr="00240606">
        <w:rPr>
          <w:rFonts w:ascii="Times New Roman" w:hAnsi="Times New Roman" w:cs="Times New Roman"/>
          <w:noProof/>
        </w:rPr>
        <w:fldChar w:fldCharType="end"/>
      </w:r>
      <w:r w:rsidRPr="00240606">
        <w:rPr>
          <w:rFonts w:ascii="Times New Roman" w:hAnsi="Times New Roman" w:cs="Times New Roman"/>
        </w:rPr>
        <w:t>: Sustainability Opportunities and Pressures in Satkhol and Sunkiya</w:t>
      </w:r>
    </w:p>
    <w:tbl>
      <w:tblPr>
        <w:tblStyle w:val="TableGrid"/>
        <w:tblW w:w="0" w:type="auto"/>
        <w:tblLook w:val="04A0" w:firstRow="1" w:lastRow="0" w:firstColumn="1" w:lastColumn="0" w:noHBand="0" w:noVBand="1"/>
      </w:tblPr>
      <w:tblGrid>
        <w:gridCol w:w="3005"/>
        <w:gridCol w:w="3005"/>
        <w:gridCol w:w="3006"/>
      </w:tblGrid>
      <w:tr w:rsidR="00505BA8" w:rsidRPr="00240606" w14:paraId="77580387" w14:textId="77777777">
        <w:tc>
          <w:tcPr>
            <w:tcW w:w="3005" w:type="dxa"/>
          </w:tcPr>
          <w:p w14:paraId="27D9831D" w14:textId="602F8153" w:rsidR="00505BA8" w:rsidRPr="00240606" w:rsidRDefault="00505BA8"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Dimension</w:t>
            </w:r>
          </w:p>
        </w:tc>
        <w:tc>
          <w:tcPr>
            <w:tcW w:w="3005" w:type="dxa"/>
          </w:tcPr>
          <w:p w14:paraId="5E87AB07" w14:textId="0FD2159F" w:rsidR="00505BA8" w:rsidRPr="00240606" w:rsidRDefault="00505BA8"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Satkhol</w:t>
            </w:r>
          </w:p>
        </w:tc>
        <w:tc>
          <w:tcPr>
            <w:tcW w:w="3006" w:type="dxa"/>
          </w:tcPr>
          <w:p w14:paraId="15B90DED" w14:textId="16F4BA03" w:rsidR="00505BA8" w:rsidRPr="00240606" w:rsidRDefault="00505BA8"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Sunkiya</w:t>
            </w:r>
          </w:p>
        </w:tc>
      </w:tr>
      <w:tr w:rsidR="00505BA8" w:rsidRPr="00240606" w14:paraId="10061DF6" w14:textId="77777777">
        <w:tc>
          <w:tcPr>
            <w:tcW w:w="3005" w:type="dxa"/>
          </w:tcPr>
          <w:p w14:paraId="068C485C" w14:textId="5D5B74F5" w:rsidR="00505BA8" w:rsidRPr="00240606" w:rsidRDefault="00505BA8"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Livelihood opportunities</w:t>
            </w:r>
          </w:p>
        </w:tc>
        <w:tc>
          <w:tcPr>
            <w:tcW w:w="3005" w:type="dxa"/>
          </w:tcPr>
          <w:p w14:paraId="4EC09DB4" w14:textId="362E6690" w:rsidR="00505BA8" w:rsidRPr="00240606" w:rsidRDefault="00505BA8"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5</w:t>
            </w:r>
          </w:p>
        </w:tc>
        <w:tc>
          <w:tcPr>
            <w:tcW w:w="3006" w:type="dxa"/>
          </w:tcPr>
          <w:p w14:paraId="4E6EE9A4" w14:textId="76F8691B" w:rsidR="00505BA8" w:rsidRPr="00240606" w:rsidRDefault="00505BA8"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5</w:t>
            </w:r>
          </w:p>
        </w:tc>
      </w:tr>
      <w:tr w:rsidR="00505BA8" w:rsidRPr="00240606" w14:paraId="2E53F3E1" w14:textId="77777777">
        <w:tc>
          <w:tcPr>
            <w:tcW w:w="3005" w:type="dxa"/>
          </w:tcPr>
          <w:p w14:paraId="55B810A0" w14:textId="1D8D7227" w:rsidR="00505BA8" w:rsidRPr="00240606" w:rsidRDefault="00505BA8"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Women’s participation</w:t>
            </w:r>
          </w:p>
        </w:tc>
        <w:tc>
          <w:tcPr>
            <w:tcW w:w="3005" w:type="dxa"/>
          </w:tcPr>
          <w:p w14:paraId="1162B50D" w14:textId="6285980C" w:rsidR="00505BA8" w:rsidRPr="00240606" w:rsidRDefault="00505BA8"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4</w:t>
            </w:r>
          </w:p>
        </w:tc>
        <w:tc>
          <w:tcPr>
            <w:tcW w:w="3006" w:type="dxa"/>
          </w:tcPr>
          <w:p w14:paraId="12C86EEB" w14:textId="055FC011" w:rsidR="00505BA8" w:rsidRPr="00240606" w:rsidRDefault="00505BA8"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5</w:t>
            </w:r>
          </w:p>
        </w:tc>
      </w:tr>
      <w:tr w:rsidR="00505BA8" w:rsidRPr="00240606" w14:paraId="257BDE96" w14:textId="77777777">
        <w:tc>
          <w:tcPr>
            <w:tcW w:w="3005" w:type="dxa"/>
          </w:tcPr>
          <w:p w14:paraId="65BFD5A7" w14:textId="5C2E18E2" w:rsidR="00505BA8" w:rsidRPr="00240606" w:rsidRDefault="00505BA8"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Local economic linkages</w:t>
            </w:r>
          </w:p>
        </w:tc>
        <w:tc>
          <w:tcPr>
            <w:tcW w:w="3005" w:type="dxa"/>
          </w:tcPr>
          <w:p w14:paraId="0B745C7C" w14:textId="39EEA5B7" w:rsidR="00505BA8" w:rsidRPr="00240606" w:rsidRDefault="00505BA8"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4</w:t>
            </w:r>
          </w:p>
        </w:tc>
        <w:tc>
          <w:tcPr>
            <w:tcW w:w="3006" w:type="dxa"/>
          </w:tcPr>
          <w:p w14:paraId="0A0CBB58" w14:textId="39AE1DB4" w:rsidR="00505BA8" w:rsidRPr="00240606" w:rsidRDefault="00505BA8"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5</w:t>
            </w:r>
          </w:p>
        </w:tc>
      </w:tr>
      <w:tr w:rsidR="00505BA8" w:rsidRPr="00240606" w14:paraId="751F458B" w14:textId="77777777">
        <w:tc>
          <w:tcPr>
            <w:tcW w:w="3005" w:type="dxa"/>
          </w:tcPr>
          <w:p w14:paraId="1C16DC23" w14:textId="5A02D4D8" w:rsidR="00505BA8" w:rsidRPr="00240606" w:rsidRDefault="00505BA8"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Cultural integration</w:t>
            </w:r>
          </w:p>
        </w:tc>
        <w:tc>
          <w:tcPr>
            <w:tcW w:w="3005" w:type="dxa"/>
          </w:tcPr>
          <w:p w14:paraId="3407F4AC" w14:textId="2404C129" w:rsidR="00505BA8" w:rsidRPr="00240606" w:rsidRDefault="00505BA8"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5</w:t>
            </w:r>
          </w:p>
        </w:tc>
        <w:tc>
          <w:tcPr>
            <w:tcW w:w="3006" w:type="dxa"/>
          </w:tcPr>
          <w:p w14:paraId="304228AD" w14:textId="08D13171" w:rsidR="00505BA8" w:rsidRPr="00240606" w:rsidRDefault="00505BA8"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4</w:t>
            </w:r>
          </w:p>
        </w:tc>
      </w:tr>
      <w:tr w:rsidR="00505BA8" w:rsidRPr="00240606" w14:paraId="5CE5B95E" w14:textId="77777777">
        <w:tc>
          <w:tcPr>
            <w:tcW w:w="3005" w:type="dxa"/>
          </w:tcPr>
          <w:p w14:paraId="4BBBD763" w14:textId="48FB4D17" w:rsidR="00505BA8" w:rsidRPr="00240606" w:rsidRDefault="00505BA8"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Water pressure</w:t>
            </w:r>
          </w:p>
        </w:tc>
        <w:tc>
          <w:tcPr>
            <w:tcW w:w="3005" w:type="dxa"/>
          </w:tcPr>
          <w:p w14:paraId="0042CE68" w14:textId="266CFE70" w:rsidR="00505BA8" w:rsidRPr="00240606" w:rsidRDefault="00505BA8"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5</w:t>
            </w:r>
          </w:p>
        </w:tc>
        <w:tc>
          <w:tcPr>
            <w:tcW w:w="3006" w:type="dxa"/>
          </w:tcPr>
          <w:p w14:paraId="1DF50C4D" w14:textId="7CABFB82" w:rsidR="00505BA8" w:rsidRPr="00240606" w:rsidRDefault="00505BA8"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4</w:t>
            </w:r>
          </w:p>
        </w:tc>
      </w:tr>
      <w:tr w:rsidR="00505BA8" w:rsidRPr="00240606" w14:paraId="09494495" w14:textId="77777777">
        <w:tc>
          <w:tcPr>
            <w:tcW w:w="3005" w:type="dxa"/>
          </w:tcPr>
          <w:p w14:paraId="740539BD" w14:textId="69BF417B" w:rsidR="00505BA8" w:rsidRPr="00240606" w:rsidRDefault="00505BA8"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Waste pressure</w:t>
            </w:r>
          </w:p>
        </w:tc>
        <w:tc>
          <w:tcPr>
            <w:tcW w:w="3005" w:type="dxa"/>
          </w:tcPr>
          <w:p w14:paraId="07850BC3" w14:textId="55603FD0" w:rsidR="00505BA8" w:rsidRPr="00240606" w:rsidRDefault="00505BA8"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4</w:t>
            </w:r>
          </w:p>
        </w:tc>
        <w:tc>
          <w:tcPr>
            <w:tcW w:w="3006" w:type="dxa"/>
          </w:tcPr>
          <w:p w14:paraId="1620F44F" w14:textId="1D706C20" w:rsidR="00505BA8" w:rsidRPr="00240606" w:rsidRDefault="00505BA8"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3</w:t>
            </w:r>
          </w:p>
        </w:tc>
      </w:tr>
      <w:tr w:rsidR="00505BA8" w:rsidRPr="00240606" w14:paraId="78A2A7C3" w14:textId="77777777">
        <w:tc>
          <w:tcPr>
            <w:tcW w:w="3005" w:type="dxa"/>
          </w:tcPr>
          <w:p w14:paraId="5AD8BF5A" w14:textId="39D96B08" w:rsidR="00505BA8" w:rsidRPr="00240606" w:rsidRDefault="00505BA8"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Infrastructure pressure</w:t>
            </w:r>
          </w:p>
        </w:tc>
        <w:tc>
          <w:tcPr>
            <w:tcW w:w="3005" w:type="dxa"/>
          </w:tcPr>
          <w:p w14:paraId="4831B484" w14:textId="4A274B67" w:rsidR="00505BA8" w:rsidRPr="00240606" w:rsidRDefault="00505BA8"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4</w:t>
            </w:r>
          </w:p>
        </w:tc>
        <w:tc>
          <w:tcPr>
            <w:tcW w:w="3006" w:type="dxa"/>
          </w:tcPr>
          <w:p w14:paraId="35E6F71B" w14:textId="581E55A1" w:rsidR="00505BA8" w:rsidRPr="00240606" w:rsidRDefault="00505BA8"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3</w:t>
            </w:r>
          </w:p>
        </w:tc>
      </w:tr>
    </w:tbl>
    <w:p w14:paraId="2322AF2F" w14:textId="77777777" w:rsidR="000154C1" w:rsidRPr="00240606" w:rsidRDefault="000154C1" w:rsidP="004C764D">
      <w:pPr>
        <w:spacing w:line="360" w:lineRule="auto"/>
        <w:jc w:val="both"/>
        <w:rPr>
          <w:rFonts w:ascii="Times New Roman" w:hAnsi="Times New Roman" w:cs="Times New Roman"/>
          <w:sz w:val="24"/>
          <w:szCs w:val="24"/>
        </w:rPr>
      </w:pPr>
    </w:p>
    <w:p w14:paraId="4A08CF67" w14:textId="03E984E4" w:rsidR="001416FF" w:rsidRPr="00240606" w:rsidRDefault="006C1E23"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The scores compare the opportunities and pressures seen in Satkhol and Sunkiya during the field visits. Both villages showed good livelihood opportunities, while women’s participation and links with local products were more visible in Sunkiya. Satkhol had stronger cultural and institutional links because its homestay model was more established and Aarohi was closely involved. Water was a concern in both villages, while waste and infrastructure issues were more visible in Satkhol. Sunkiya had lower pressure scores because its homestay sector is still developing, though these pressures may increase as tourism grows. The scores are based on field observations and conversations and are only used to compare the two cases.</w:t>
      </w:r>
    </w:p>
    <w:p w14:paraId="672471E2" w14:textId="77777777" w:rsidR="006C1E23" w:rsidRPr="00240606" w:rsidRDefault="006C1E23" w:rsidP="004C764D">
      <w:pPr>
        <w:spacing w:line="360" w:lineRule="auto"/>
        <w:jc w:val="both"/>
        <w:rPr>
          <w:rFonts w:ascii="Times New Roman" w:hAnsi="Times New Roman" w:cs="Times New Roman"/>
          <w:sz w:val="24"/>
          <w:szCs w:val="24"/>
        </w:rPr>
      </w:pPr>
    </w:p>
    <w:p w14:paraId="769CB7A9" w14:textId="77777777" w:rsidR="001416FF" w:rsidRPr="00240606" w:rsidRDefault="001416FF" w:rsidP="004C764D">
      <w:pPr>
        <w:keepNext/>
        <w:spacing w:line="360" w:lineRule="auto"/>
        <w:jc w:val="both"/>
        <w:rPr>
          <w:rFonts w:ascii="Times New Roman" w:hAnsi="Times New Roman" w:cs="Times New Roman"/>
        </w:rPr>
      </w:pPr>
      <w:r w:rsidRPr="00240606">
        <w:rPr>
          <w:rFonts w:ascii="Times New Roman" w:hAnsi="Times New Roman" w:cs="Times New Roman"/>
          <w:noProof/>
        </w:rPr>
        <w:lastRenderedPageBreak/>
        <w:drawing>
          <wp:inline distT="0" distB="0" distL="0" distR="0" wp14:anchorId="333FBD54" wp14:editId="796F1A00">
            <wp:extent cx="4572000" cy="2754630"/>
            <wp:effectExtent l="0" t="0" r="0" b="7620"/>
            <wp:docPr id="1316655086" name="Chart 1">
              <a:extLst xmlns:a="http://schemas.openxmlformats.org/drawingml/2006/main">
                <a:ext uri="{FF2B5EF4-FFF2-40B4-BE49-F238E27FC236}">
                  <a16:creationId xmlns:a16="http://schemas.microsoft.com/office/drawing/2014/main" id="{A150BC21-1790-B1C9-3F7E-3A97373284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6A76D79A" w14:textId="4F91687F" w:rsidR="00505BA8" w:rsidRPr="00240606" w:rsidRDefault="001416FF" w:rsidP="004C764D">
      <w:pPr>
        <w:pStyle w:val="Caption"/>
        <w:spacing w:line="360" w:lineRule="auto"/>
        <w:jc w:val="both"/>
        <w:rPr>
          <w:rFonts w:ascii="Times New Roman" w:hAnsi="Times New Roman" w:cs="Times New Roman"/>
          <w:sz w:val="24"/>
          <w:szCs w:val="24"/>
        </w:rPr>
      </w:pPr>
      <w:r w:rsidRPr="00240606">
        <w:rPr>
          <w:rFonts w:ascii="Times New Roman" w:hAnsi="Times New Roman" w:cs="Times New Roman"/>
        </w:rPr>
        <w:t xml:space="preserve">Figure </w:t>
      </w:r>
      <w:r w:rsidRPr="00240606">
        <w:rPr>
          <w:rFonts w:ascii="Times New Roman" w:hAnsi="Times New Roman" w:cs="Times New Roman"/>
        </w:rPr>
        <w:fldChar w:fldCharType="begin"/>
      </w:r>
      <w:r w:rsidRPr="00240606">
        <w:rPr>
          <w:rFonts w:ascii="Times New Roman" w:hAnsi="Times New Roman" w:cs="Times New Roman"/>
        </w:rPr>
        <w:instrText xml:space="preserve"> SEQ Figure \* ARABIC </w:instrText>
      </w:r>
      <w:r w:rsidRPr="00240606">
        <w:rPr>
          <w:rFonts w:ascii="Times New Roman" w:hAnsi="Times New Roman" w:cs="Times New Roman"/>
        </w:rPr>
        <w:fldChar w:fldCharType="separate"/>
      </w:r>
      <w:r w:rsidRPr="00240606">
        <w:rPr>
          <w:rFonts w:ascii="Times New Roman" w:hAnsi="Times New Roman" w:cs="Times New Roman"/>
          <w:noProof/>
        </w:rPr>
        <w:t>3</w:t>
      </w:r>
      <w:r w:rsidRPr="00240606">
        <w:rPr>
          <w:rFonts w:ascii="Times New Roman" w:hAnsi="Times New Roman" w:cs="Times New Roman"/>
          <w:noProof/>
        </w:rPr>
        <w:fldChar w:fldCharType="end"/>
      </w:r>
      <w:r w:rsidRPr="00240606">
        <w:rPr>
          <w:rFonts w:ascii="Times New Roman" w:hAnsi="Times New Roman" w:cs="Times New Roman"/>
        </w:rPr>
        <w:t>: Sustainability Opportunities and Pressures Associated with Satkhol and Sunkiya</w:t>
      </w:r>
    </w:p>
    <w:p w14:paraId="0D01EF92" w14:textId="77777777" w:rsidR="00505BA8" w:rsidRPr="00240606" w:rsidRDefault="00505BA8" w:rsidP="004C764D">
      <w:pPr>
        <w:spacing w:line="360" w:lineRule="auto"/>
        <w:jc w:val="both"/>
        <w:rPr>
          <w:rFonts w:ascii="Times New Roman" w:hAnsi="Times New Roman" w:cs="Times New Roman"/>
          <w:sz w:val="24"/>
          <w:szCs w:val="24"/>
        </w:rPr>
      </w:pPr>
    </w:p>
    <w:p w14:paraId="75E12E7E" w14:textId="250648B3" w:rsidR="001416FF" w:rsidRPr="00240606" w:rsidRDefault="00240606" w:rsidP="004C764D">
      <w:pPr>
        <w:spacing w:line="360" w:lineRule="auto"/>
        <w:jc w:val="both"/>
        <w:rPr>
          <w:rFonts w:ascii="Times New Roman" w:hAnsi="Times New Roman" w:cs="Times New Roman"/>
          <w:b/>
          <w:bCs/>
          <w:sz w:val="24"/>
          <w:szCs w:val="24"/>
        </w:rPr>
      </w:pPr>
      <w:r w:rsidRPr="00240606">
        <w:rPr>
          <w:rFonts w:ascii="Times New Roman" w:hAnsi="Times New Roman" w:cs="Times New Roman"/>
          <w:b/>
          <w:bCs/>
          <w:sz w:val="24"/>
          <w:szCs w:val="24"/>
        </w:rPr>
        <w:t>Rationale:</w:t>
      </w:r>
    </w:p>
    <w:p w14:paraId="58AD1B99" w14:textId="7B58401B" w:rsidR="00240606" w:rsidRPr="00240606" w:rsidRDefault="0024060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The scores compare the opportunities and pressures linked to homestay tourism in the two villages. Livelihoods, women’s participation and local economic links were treated as opportunities, while water, waste and infrastructure were considered pressures. The scores are based on field observations and conversations and are used only to show the differences between Satkhol and Sunkiya.</w:t>
      </w:r>
    </w:p>
    <w:p w14:paraId="24C0CE00" w14:textId="77777777" w:rsidR="004C764D" w:rsidRDefault="004C764D" w:rsidP="004C764D">
      <w:pPr>
        <w:spacing w:line="360" w:lineRule="auto"/>
        <w:jc w:val="both"/>
        <w:rPr>
          <w:rFonts w:ascii="Times New Roman" w:hAnsi="Times New Roman" w:cs="Times New Roman"/>
          <w:sz w:val="24"/>
          <w:szCs w:val="24"/>
        </w:rPr>
      </w:pPr>
    </w:p>
    <w:p w14:paraId="453B39FF" w14:textId="2BE90064" w:rsidR="00A91E87" w:rsidRPr="00240606" w:rsidRDefault="00A91E87"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Note: Scores range from 1 to 5 and represent the</w:t>
      </w:r>
      <w:r w:rsidR="001F1098" w:rsidRPr="00240606">
        <w:rPr>
          <w:rFonts w:ascii="Times New Roman" w:hAnsi="Times New Roman" w:cs="Times New Roman"/>
          <w:sz w:val="24"/>
          <w:szCs w:val="24"/>
        </w:rPr>
        <w:t xml:space="preserve"> </w:t>
      </w:r>
      <w:r w:rsidRPr="00240606">
        <w:rPr>
          <w:rFonts w:ascii="Times New Roman" w:hAnsi="Times New Roman" w:cs="Times New Roman"/>
          <w:sz w:val="24"/>
          <w:szCs w:val="24"/>
        </w:rPr>
        <w:t>qualitative assessment based on field observations and interactions. They are not survey-based measurements or population-level estimates.</w:t>
      </w:r>
    </w:p>
    <w:p w14:paraId="347D8B14" w14:textId="0F472C9B" w:rsidR="00A4615D" w:rsidRPr="00240606" w:rsidRDefault="00A4615D" w:rsidP="004C764D">
      <w:pPr>
        <w:pStyle w:val="Caption"/>
        <w:keepNext/>
        <w:spacing w:line="360" w:lineRule="auto"/>
        <w:jc w:val="both"/>
        <w:rPr>
          <w:rFonts w:ascii="Times New Roman" w:hAnsi="Times New Roman" w:cs="Times New Roman"/>
        </w:rPr>
      </w:pPr>
      <w:r w:rsidRPr="00240606">
        <w:rPr>
          <w:rFonts w:ascii="Times New Roman" w:hAnsi="Times New Roman" w:cs="Times New Roman"/>
        </w:rPr>
        <w:t xml:space="preserve">Table </w:t>
      </w:r>
      <w:r w:rsidR="00505BA8" w:rsidRPr="00240606">
        <w:rPr>
          <w:rFonts w:ascii="Times New Roman" w:hAnsi="Times New Roman" w:cs="Times New Roman"/>
        </w:rPr>
        <w:fldChar w:fldCharType="begin"/>
      </w:r>
      <w:r w:rsidR="00505BA8" w:rsidRPr="00240606">
        <w:rPr>
          <w:rFonts w:ascii="Times New Roman" w:hAnsi="Times New Roman" w:cs="Times New Roman"/>
        </w:rPr>
        <w:instrText xml:space="preserve"> SEQ Table \* ARABIC </w:instrText>
      </w:r>
      <w:r w:rsidR="00505BA8" w:rsidRPr="00240606">
        <w:rPr>
          <w:rFonts w:ascii="Times New Roman" w:hAnsi="Times New Roman" w:cs="Times New Roman"/>
        </w:rPr>
        <w:fldChar w:fldCharType="separate"/>
      </w:r>
      <w:r w:rsidR="00505BA8" w:rsidRPr="00240606">
        <w:rPr>
          <w:rFonts w:ascii="Times New Roman" w:hAnsi="Times New Roman" w:cs="Times New Roman"/>
          <w:noProof/>
        </w:rPr>
        <w:t>3</w:t>
      </w:r>
      <w:r w:rsidR="00505BA8" w:rsidRPr="00240606">
        <w:rPr>
          <w:rFonts w:ascii="Times New Roman" w:hAnsi="Times New Roman" w:cs="Times New Roman"/>
          <w:noProof/>
        </w:rPr>
        <w:fldChar w:fldCharType="end"/>
      </w:r>
      <w:r w:rsidRPr="00240606">
        <w:rPr>
          <w:rFonts w:ascii="Times New Roman" w:hAnsi="Times New Roman" w:cs="Times New Roman"/>
        </w:rPr>
        <w:t>: Scoring Scale Used for the Qualitative Assessment</w:t>
      </w:r>
    </w:p>
    <w:tbl>
      <w:tblPr>
        <w:tblStyle w:val="TableGrid"/>
        <w:tblW w:w="0" w:type="auto"/>
        <w:tblLook w:val="04A0" w:firstRow="1" w:lastRow="0" w:firstColumn="1" w:lastColumn="0" w:noHBand="0" w:noVBand="1"/>
      </w:tblPr>
      <w:tblGrid>
        <w:gridCol w:w="4508"/>
        <w:gridCol w:w="4508"/>
      </w:tblGrid>
      <w:tr w:rsidR="00A4615D" w:rsidRPr="00240606" w14:paraId="6C537524" w14:textId="77777777">
        <w:tc>
          <w:tcPr>
            <w:tcW w:w="4508" w:type="dxa"/>
          </w:tcPr>
          <w:p w14:paraId="793C1A31" w14:textId="77777777" w:rsidR="00A4615D" w:rsidRPr="00240606" w:rsidRDefault="00A4615D"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Score</w:t>
            </w:r>
          </w:p>
        </w:tc>
        <w:tc>
          <w:tcPr>
            <w:tcW w:w="4508" w:type="dxa"/>
          </w:tcPr>
          <w:p w14:paraId="11C5CCEE" w14:textId="77777777" w:rsidR="00A4615D" w:rsidRPr="00240606" w:rsidRDefault="00A4615D"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Interpretation</w:t>
            </w:r>
          </w:p>
        </w:tc>
      </w:tr>
      <w:tr w:rsidR="00A4615D" w:rsidRPr="00240606" w14:paraId="18D3D00E" w14:textId="77777777">
        <w:tc>
          <w:tcPr>
            <w:tcW w:w="4508" w:type="dxa"/>
          </w:tcPr>
          <w:p w14:paraId="58C1C623" w14:textId="77777777" w:rsidR="00A4615D" w:rsidRPr="00240606" w:rsidRDefault="00A4615D"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1</w:t>
            </w:r>
          </w:p>
        </w:tc>
        <w:tc>
          <w:tcPr>
            <w:tcW w:w="4508" w:type="dxa"/>
          </w:tcPr>
          <w:p w14:paraId="1CDB0176" w14:textId="77777777" w:rsidR="00A4615D" w:rsidRPr="00240606" w:rsidRDefault="00A4615D"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Very low</w:t>
            </w:r>
          </w:p>
        </w:tc>
      </w:tr>
      <w:tr w:rsidR="00A4615D" w:rsidRPr="00240606" w14:paraId="74CE9588" w14:textId="77777777" w:rsidTr="00A4615D">
        <w:trPr>
          <w:trHeight w:val="117"/>
        </w:trPr>
        <w:tc>
          <w:tcPr>
            <w:tcW w:w="4508" w:type="dxa"/>
          </w:tcPr>
          <w:p w14:paraId="10E167CE" w14:textId="77777777" w:rsidR="00A4615D" w:rsidRPr="00240606" w:rsidRDefault="00A4615D"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2</w:t>
            </w:r>
          </w:p>
        </w:tc>
        <w:tc>
          <w:tcPr>
            <w:tcW w:w="4508" w:type="dxa"/>
          </w:tcPr>
          <w:p w14:paraId="3257FE96" w14:textId="77777777" w:rsidR="00A4615D" w:rsidRPr="00240606" w:rsidRDefault="00A4615D"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Low</w:t>
            </w:r>
          </w:p>
        </w:tc>
      </w:tr>
      <w:tr w:rsidR="00A4615D" w:rsidRPr="00240606" w14:paraId="63C95A06" w14:textId="77777777">
        <w:tc>
          <w:tcPr>
            <w:tcW w:w="4508" w:type="dxa"/>
          </w:tcPr>
          <w:p w14:paraId="344B88D4" w14:textId="77777777" w:rsidR="00A4615D" w:rsidRPr="00240606" w:rsidRDefault="00A4615D"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3</w:t>
            </w:r>
          </w:p>
        </w:tc>
        <w:tc>
          <w:tcPr>
            <w:tcW w:w="4508" w:type="dxa"/>
          </w:tcPr>
          <w:p w14:paraId="50CD01C2" w14:textId="77777777" w:rsidR="00A4615D" w:rsidRPr="00240606" w:rsidRDefault="00A4615D"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Moderate</w:t>
            </w:r>
          </w:p>
        </w:tc>
      </w:tr>
      <w:tr w:rsidR="00A4615D" w:rsidRPr="00240606" w14:paraId="239FCF67" w14:textId="77777777">
        <w:tc>
          <w:tcPr>
            <w:tcW w:w="4508" w:type="dxa"/>
          </w:tcPr>
          <w:p w14:paraId="3E8F7D42" w14:textId="77777777" w:rsidR="00A4615D" w:rsidRPr="00240606" w:rsidRDefault="00A4615D"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4</w:t>
            </w:r>
          </w:p>
        </w:tc>
        <w:tc>
          <w:tcPr>
            <w:tcW w:w="4508" w:type="dxa"/>
          </w:tcPr>
          <w:p w14:paraId="21C52817" w14:textId="77777777" w:rsidR="00A4615D" w:rsidRPr="00240606" w:rsidRDefault="00A4615D"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High</w:t>
            </w:r>
          </w:p>
        </w:tc>
      </w:tr>
      <w:tr w:rsidR="00A4615D" w:rsidRPr="00240606" w14:paraId="50356399" w14:textId="77777777">
        <w:tc>
          <w:tcPr>
            <w:tcW w:w="4508" w:type="dxa"/>
          </w:tcPr>
          <w:p w14:paraId="44E45C1D" w14:textId="77777777" w:rsidR="00A4615D" w:rsidRPr="00240606" w:rsidRDefault="00A4615D"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5</w:t>
            </w:r>
          </w:p>
        </w:tc>
        <w:tc>
          <w:tcPr>
            <w:tcW w:w="4508" w:type="dxa"/>
          </w:tcPr>
          <w:p w14:paraId="07AE9922" w14:textId="77777777" w:rsidR="00A4615D" w:rsidRPr="00240606" w:rsidRDefault="00A4615D"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Very high</w:t>
            </w:r>
          </w:p>
        </w:tc>
      </w:tr>
    </w:tbl>
    <w:p w14:paraId="7F1C4DA8" w14:textId="77777777" w:rsidR="00A91E87" w:rsidRPr="00240606" w:rsidRDefault="00A91E87" w:rsidP="004C764D">
      <w:pPr>
        <w:spacing w:line="360" w:lineRule="auto"/>
        <w:jc w:val="both"/>
        <w:rPr>
          <w:rFonts w:ascii="Times New Roman" w:hAnsi="Times New Roman" w:cs="Times New Roman"/>
          <w:b/>
          <w:bCs/>
          <w:sz w:val="24"/>
          <w:szCs w:val="24"/>
        </w:rPr>
      </w:pPr>
    </w:p>
    <w:p w14:paraId="467516A6" w14:textId="3C745D8E" w:rsidR="003E4CD6" w:rsidRPr="00240606" w:rsidRDefault="003E4CD6" w:rsidP="004C764D">
      <w:pPr>
        <w:spacing w:line="360" w:lineRule="auto"/>
        <w:jc w:val="both"/>
        <w:rPr>
          <w:rFonts w:ascii="Times New Roman" w:hAnsi="Times New Roman" w:cs="Times New Roman"/>
          <w:b/>
          <w:bCs/>
          <w:sz w:val="24"/>
          <w:szCs w:val="24"/>
        </w:rPr>
      </w:pPr>
      <w:r w:rsidRPr="00240606">
        <w:rPr>
          <w:rFonts w:ascii="Times New Roman" w:hAnsi="Times New Roman" w:cs="Times New Roman"/>
          <w:b/>
          <w:bCs/>
          <w:sz w:val="24"/>
          <w:szCs w:val="24"/>
        </w:rPr>
        <w:lastRenderedPageBreak/>
        <w:t>5.</w:t>
      </w:r>
      <w:r w:rsidR="00505BA8" w:rsidRPr="00240606">
        <w:rPr>
          <w:rFonts w:ascii="Times New Roman" w:hAnsi="Times New Roman" w:cs="Times New Roman"/>
          <w:b/>
          <w:bCs/>
          <w:sz w:val="24"/>
          <w:szCs w:val="24"/>
        </w:rPr>
        <w:t>2</w:t>
      </w:r>
      <w:r w:rsidRPr="00240606">
        <w:rPr>
          <w:rFonts w:ascii="Times New Roman" w:hAnsi="Times New Roman" w:cs="Times New Roman"/>
          <w:b/>
          <w:bCs/>
          <w:sz w:val="24"/>
          <w:szCs w:val="24"/>
        </w:rPr>
        <w:t xml:space="preserve"> Homestays as a Livelihood Strategy</w:t>
      </w:r>
    </w:p>
    <w:p w14:paraId="4160B4A7" w14:textId="62AC6350"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The main similarity between Satkhol and Sunkiya is that homestays are part of the wider livelihood systems of local families. They are connected to the village economy and are not separate businesses operating on their own.</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The Satkhol homestay was a relatively established form of this process. The interaction with Maya ma'am, who was the first to begin her homestay back in 2013, demonstrated that homestay tourism can be sustained over a considerable period while remaining connected to the household and local environment. Her experience also indicated the importance of relationships with guests. The homestay was presented not merely as a commercial accommodation but as a space where visitors could experience local life and culture.</w:t>
      </w:r>
    </w:p>
    <w:p w14:paraId="35FF457B" w14:textId="77777777"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This is significant from a livelihoods perspective because the value of the enterprise does not arise solely from the room provided to the visitors. It is generated through a combination of existing household assets: the house itself, local knowledge, food, cultural practices, hospitality and the surrounding landscape.</w:t>
      </w:r>
    </w:p>
    <w:p w14:paraId="1D195F38" w14:textId="77777777"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 xml:space="preserve">Sunkiya shows a new stage in the same process. Munni Devi ma'am started her homestay only about six months before the field visit. Her situation shows that tourism is adding to an existing way of making a living instead of replacing it. During the visit to her farm, we saw that her household engages in multiple activities at the same time, such as growing fruits and vegetables and raising livestock. </w:t>
      </w:r>
    </w:p>
    <w:p w14:paraId="0BB534C7" w14:textId="29D95203"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This pattern is also seen in research from the Tons River Basin, where homestays were found to operate alongside agriculture and horticulture. This makes the Sunkiya observation more meaningful. The homestay does not simply create a new source of income; it can also create a market for resources that households already possess.</w:t>
      </w:r>
    </w:p>
    <w:p w14:paraId="01B1ED9A" w14:textId="4852C195" w:rsidR="00256AC3"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The difference between the two cases is not whether tourism helps with livelihoods but rather at what stage tourism is added to those livelihoods. Satkhol shows a well-established tourism activity, while Sunkiya represents a new one.</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It is a distinction that matters because the challenges faced by a mature homestay system may differ from those faced by an emerging one. In an established destination, the concern may increasingly become managing tourism growth and its environmental pressures. In an emerging destination, the challenge is to establish tourism in a way that avoids reproducing the problems experienced by highly concentrated destinations.</w:t>
      </w:r>
      <w:r w:rsidR="00256AC3" w:rsidRPr="00240606">
        <w:rPr>
          <w:rFonts w:ascii="Times New Roman" w:hAnsi="Times New Roman" w:cs="Times New Roman"/>
          <w:sz w:val="24"/>
          <w:szCs w:val="24"/>
        </w:rPr>
        <w:br/>
      </w:r>
    </w:p>
    <w:p w14:paraId="0E217D0F" w14:textId="77777777" w:rsidR="00256AC3" w:rsidRPr="00240606" w:rsidRDefault="00256AC3" w:rsidP="004C764D">
      <w:pPr>
        <w:spacing w:line="360" w:lineRule="auto"/>
        <w:jc w:val="both"/>
        <w:rPr>
          <w:rFonts w:ascii="Times New Roman" w:hAnsi="Times New Roman" w:cs="Times New Roman"/>
          <w:sz w:val="24"/>
          <w:szCs w:val="24"/>
        </w:rPr>
      </w:pPr>
    </w:p>
    <w:p w14:paraId="108E1F04" w14:textId="122DCA2D" w:rsidR="003E4CD6" w:rsidRPr="00240606" w:rsidRDefault="003E4CD6" w:rsidP="004C764D">
      <w:pPr>
        <w:spacing w:line="360" w:lineRule="auto"/>
        <w:jc w:val="both"/>
        <w:rPr>
          <w:rFonts w:ascii="Times New Roman" w:hAnsi="Times New Roman" w:cs="Times New Roman"/>
          <w:sz w:val="24"/>
          <w:szCs w:val="24"/>
        </w:rPr>
      </w:pPr>
    </w:p>
    <w:p w14:paraId="374884D7" w14:textId="41F35FDA" w:rsidR="003E4CD6" w:rsidRPr="00240606" w:rsidRDefault="003E4CD6" w:rsidP="004C764D">
      <w:pPr>
        <w:spacing w:line="360" w:lineRule="auto"/>
        <w:jc w:val="both"/>
        <w:rPr>
          <w:rFonts w:ascii="Times New Roman" w:hAnsi="Times New Roman" w:cs="Times New Roman"/>
          <w:b/>
          <w:bCs/>
          <w:sz w:val="24"/>
          <w:szCs w:val="24"/>
        </w:rPr>
      </w:pPr>
      <w:r w:rsidRPr="00240606">
        <w:rPr>
          <w:rFonts w:ascii="Times New Roman" w:hAnsi="Times New Roman" w:cs="Times New Roman"/>
          <w:b/>
          <w:bCs/>
          <w:sz w:val="24"/>
          <w:szCs w:val="24"/>
        </w:rPr>
        <w:t>5.</w:t>
      </w:r>
      <w:r w:rsidR="00505BA8" w:rsidRPr="00240606">
        <w:rPr>
          <w:rFonts w:ascii="Times New Roman" w:hAnsi="Times New Roman" w:cs="Times New Roman"/>
          <w:b/>
          <w:bCs/>
          <w:sz w:val="24"/>
          <w:szCs w:val="24"/>
        </w:rPr>
        <w:t>3</w:t>
      </w:r>
      <w:r w:rsidRPr="00240606">
        <w:rPr>
          <w:rFonts w:ascii="Times New Roman" w:hAnsi="Times New Roman" w:cs="Times New Roman"/>
          <w:b/>
          <w:bCs/>
          <w:sz w:val="24"/>
          <w:szCs w:val="24"/>
        </w:rPr>
        <w:t xml:space="preserve"> Women and the Meaning of Participation</w:t>
      </w:r>
    </w:p>
    <w:p w14:paraId="7C159D50" w14:textId="2C26D3C6"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The clearest difference between the two cases can be seen in women's participation.</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In Satkhol, at the Aarohi centre, we had a group discussion with homestay owners, which helped us understand tourism from the perspective of families already involved in it. The discussion showed that homestays were valued for the income they provided, as well as for cultural exchange and the chance to share Kumaoni traditions and ways of life with visitors.</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Sunkiya, however, presented a more explicit women-centred model through the Ghasyari women associated with Aarohi. The initiative positions rural women not simply as workers within tourism but as participants in the development of homestay enterprises.</w:t>
      </w:r>
      <w:r w:rsidR="00033047">
        <w:rPr>
          <w:rFonts w:ascii="Times New Roman" w:hAnsi="Times New Roman" w:cs="Times New Roman"/>
          <w:sz w:val="24"/>
          <w:szCs w:val="24"/>
        </w:rPr>
        <w:t xml:space="preserve"> A</w:t>
      </w:r>
      <w:r w:rsidR="00033047" w:rsidRPr="00033047">
        <w:rPr>
          <w:rFonts w:ascii="Times New Roman" w:hAnsi="Times New Roman" w:cs="Times New Roman"/>
          <w:sz w:val="24"/>
          <w:szCs w:val="24"/>
        </w:rPr>
        <w:t>charya and Halpenny (2013) similarly found that women-managed homestays can support community development while creating tourism opportunities for rural women.</w:t>
      </w:r>
    </w:p>
    <w:p w14:paraId="2A27B814" w14:textId="5EC6CBF3"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Munni Devi ma'am's case shows how women are starting to take up tourism as an entrepreneurial opportunity. Her homestay was still new, and she spoke about the support she received from local people in promoting it and encouraging the initiative. Her plans to add more rooms also showed that she saw the homestay as a possible long-term source of livelihood rather than a short-term activity.</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The significance of this participation lies in the potential to transform existing forms of household and cultural labour into recognised economic activity. Cooking, hosting, knowledge of local food and familiarity with the agricultural landscape may traditionally be treated as household responsibilities. Within a homestay, these same forms of knowledge can become part of a tourism experience.</w:t>
      </w:r>
    </w:p>
    <w:p w14:paraId="7DDF4CAD" w14:textId="70C0F386"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However, the sustainability of women-led tourism should not be judged only by whether women are running the homestays. A more important question is whether they have real control over the income and decisions involved. Does running a homestay give women more independence and decision-making power, or does it simply add more work to their existing household and farming responsibilities?</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The field immersion could not answer this question conclusively, a limitation in itself. However, the Sunkiya case suggests that women's participation is a significant feature of the emerging tourism model and deserves further investigation.</w:t>
      </w:r>
    </w:p>
    <w:p w14:paraId="72C62CF4" w14:textId="77777777" w:rsidR="004C764D" w:rsidRDefault="004C764D" w:rsidP="004C764D">
      <w:pPr>
        <w:spacing w:line="360" w:lineRule="auto"/>
        <w:jc w:val="both"/>
        <w:rPr>
          <w:rFonts w:ascii="Times New Roman" w:hAnsi="Times New Roman" w:cs="Times New Roman"/>
          <w:b/>
          <w:bCs/>
          <w:sz w:val="24"/>
          <w:szCs w:val="24"/>
        </w:rPr>
      </w:pPr>
    </w:p>
    <w:p w14:paraId="7A8D81EE" w14:textId="01CB63F4" w:rsidR="003E4CD6" w:rsidRPr="00240606" w:rsidRDefault="003E4CD6" w:rsidP="004C764D">
      <w:pPr>
        <w:spacing w:line="360" w:lineRule="auto"/>
        <w:jc w:val="both"/>
        <w:rPr>
          <w:rFonts w:ascii="Times New Roman" w:hAnsi="Times New Roman" w:cs="Times New Roman"/>
          <w:b/>
          <w:bCs/>
          <w:sz w:val="24"/>
          <w:szCs w:val="24"/>
        </w:rPr>
      </w:pPr>
      <w:r w:rsidRPr="00240606">
        <w:rPr>
          <w:rFonts w:ascii="Times New Roman" w:hAnsi="Times New Roman" w:cs="Times New Roman"/>
          <w:b/>
          <w:bCs/>
          <w:sz w:val="24"/>
          <w:szCs w:val="24"/>
        </w:rPr>
        <w:lastRenderedPageBreak/>
        <w:t>5.</w:t>
      </w:r>
      <w:r w:rsidR="00505BA8" w:rsidRPr="00240606">
        <w:rPr>
          <w:rFonts w:ascii="Times New Roman" w:hAnsi="Times New Roman" w:cs="Times New Roman"/>
          <w:b/>
          <w:bCs/>
          <w:sz w:val="24"/>
          <w:szCs w:val="24"/>
        </w:rPr>
        <w:t>4</w:t>
      </w:r>
      <w:r w:rsidRPr="00240606">
        <w:rPr>
          <w:rFonts w:ascii="Times New Roman" w:hAnsi="Times New Roman" w:cs="Times New Roman"/>
          <w:b/>
          <w:bCs/>
          <w:sz w:val="24"/>
          <w:szCs w:val="24"/>
        </w:rPr>
        <w:t xml:space="preserve"> Agriculture and Tourism as Complementary Livelihoods</w:t>
      </w:r>
    </w:p>
    <w:p w14:paraId="2B54E9CB" w14:textId="6FAA321D" w:rsidR="004C764D"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One of the most significant insights from the village visits was the close relationship between tourism and agriculture.</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At Munni Devi's home in Sunkiya, the homestay was located within a household landscape that also included agricultural production and livestock. The visit to the farm exposed us to apples, plums, apricots, and vegetables, as well as cows and a goat. The experience demonstrated that rural tourism does not necessarily require households to abandon traditional occupations in favour of tourism.</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Instead, agricultural production can become part of the tourism experience itself.</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The same logic was visible in Satkhol. The interaction around Maya's homestay demonstrated how the surrounding rural landscape and local culture formed part of the attraction. Visitors were not simply purchasing accommodation; they were accessing a different way of experiencing a place.</w:t>
      </w:r>
      <w:r w:rsidR="004C764D">
        <w:rPr>
          <w:rFonts w:ascii="Times New Roman" w:hAnsi="Times New Roman" w:cs="Times New Roman"/>
          <w:sz w:val="24"/>
          <w:szCs w:val="24"/>
        </w:rPr>
        <w:t xml:space="preserve"> </w:t>
      </w:r>
    </w:p>
    <w:p w14:paraId="1DEC85B0" w14:textId="4250EBA5" w:rsidR="003E4CD6" w:rsidRPr="004C764D"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This relationship creates an important opportunity for sustainability. If tourists buy and consume local agricultural products, it can support local businesses and keep more tourism income within the community. Using local food may also reduce dependence on supplies from outside, although this would need to be studied further.</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 xml:space="preserve">At the same time, tourism can also create problems. If farmland is used for tourism infrastructure or local resources are prioritised for tourists, tourism and agriculture may start competing </w:t>
      </w:r>
      <w:r w:rsidR="00CF7AA2" w:rsidRPr="00240606">
        <w:rPr>
          <w:rFonts w:ascii="Times New Roman" w:hAnsi="Times New Roman" w:cs="Times New Roman"/>
          <w:sz w:val="24"/>
          <w:szCs w:val="24"/>
        </w:rPr>
        <w:t>rather than</w:t>
      </w:r>
      <w:r w:rsidRPr="00240606">
        <w:rPr>
          <w:rFonts w:ascii="Times New Roman" w:hAnsi="Times New Roman" w:cs="Times New Roman"/>
          <w:sz w:val="24"/>
          <w:szCs w:val="24"/>
        </w:rPr>
        <w:t xml:space="preserve"> supporting each other.</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 xml:space="preserve">Therefore, the question is not whether tourism and agriculture coexist, but </w:t>
      </w:r>
      <w:r w:rsidRPr="004C764D">
        <w:rPr>
          <w:rFonts w:ascii="Times New Roman" w:hAnsi="Times New Roman" w:cs="Times New Roman"/>
          <w:sz w:val="24"/>
          <w:szCs w:val="24"/>
        </w:rPr>
        <w:t>how they coexist.</w:t>
      </w:r>
    </w:p>
    <w:p w14:paraId="0811D2B6" w14:textId="77777777" w:rsidR="002C7B2C" w:rsidRPr="00240606" w:rsidRDefault="002C7B2C"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br w:type="page"/>
      </w:r>
    </w:p>
    <w:p w14:paraId="15D166F7" w14:textId="6A4673FF" w:rsidR="003E4CD6" w:rsidRPr="00240606" w:rsidRDefault="003E4CD6" w:rsidP="004C764D">
      <w:pPr>
        <w:spacing w:line="360" w:lineRule="auto"/>
        <w:jc w:val="both"/>
        <w:rPr>
          <w:rFonts w:ascii="Times New Roman" w:hAnsi="Times New Roman" w:cs="Times New Roman"/>
          <w:b/>
          <w:bCs/>
          <w:sz w:val="24"/>
          <w:szCs w:val="24"/>
        </w:rPr>
      </w:pPr>
      <w:r w:rsidRPr="00240606">
        <w:rPr>
          <w:rFonts w:ascii="Times New Roman" w:hAnsi="Times New Roman" w:cs="Times New Roman"/>
          <w:b/>
          <w:bCs/>
          <w:sz w:val="24"/>
          <w:szCs w:val="24"/>
        </w:rPr>
        <w:lastRenderedPageBreak/>
        <w:t>5.</w:t>
      </w:r>
      <w:r w:rsidR="00505BA8" w:rsidRPr="00240606">
        <w:rPr>
          <w:rFonts w:ascii="Times New Roman" w:hAnsi="Times New Roman" w:cs="Times New Roman"/>
          <w:b/>
          <w:bCs/>
          <w:sz w:val="24"/>
          <w:szCs w:val="24"/>
        </w:rPr>
        <w:t>5</w:t>
      </w:r>
      <w:r w:rsidRPr="00240606">
        <w:rPr>
          <w:rFonts w:ascii="Times New Roman" w:hAnsi="Times New Roman" w:cs="Times New Roman"/>
          <w:b/>
          <w:bCs/>
          <w:sz w:val="24"/>
          <w:szCs w:val="24"/>
        </w:rPr>
        <w:t xml:space="preserve"> Institutional Support and the Role of Intermediaries</w:t>
      </w:r>
    </w:p>
    <w:p w14:paraId="0537A892" w14:textId="414BE6D1"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Aarohi was an important organisation we came across during our visit to Satkhol. Its work goes beyond tourism and includes community development, livelihoods, natural resource management, health, and other rural development activities. This means that the homestay initiative is part of a larger development effort rather than being run as separate private businesses.</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In Sunkiya, Jeevan Bhai played an important role in encouraging local women to start homestays and supporting the initiative. During our visit, several homestays were already running, while around ten more were being developed.</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This indicates that institutional and interpersonal networks can reduce some of the barriers faced by households entering the tourism sector. Training, management, organisation, encouragement and connections to wider tourism networks may be particularly important for first-time entrepreneurs.</w:t>
      </w:r>
    </w:p>
    <w:p w14:paraId="1D94A5F5" w14:textId="6D96418C"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From a Sustainable Livelihoods perspective, such networks constitute an important form of social capital. A household does not necessarily possess all the resources required to develop a successful tourism enterprise. Access to external networks can help convert existing physical, human nd natural capital into initial returns.</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This raises an important question about how sustainable the model is. If homestay development relies on external support, what will happen when that support ends? On the other hand, if institutions manage to build local skills, they can gradually move from providing direct help to encouraging community ownership.</w:t>
      </w:r>
    </w:p>
    <w:p w14:paraId="3EA9095F" w14:textId="02D9C345" w:rsidR="00BA15A3"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 xml:space="preserve">The role of institutional support is also reflected in Uttarakhand's homestay policy. The state framework provides for registration and inspection, financial assistance, marketing support and training. The guidelines also provide for homestay clusters and collective promotion, suggesting that homestay development is not viewed only as an individual household activity. </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The older Atithi Uttarakhand Griha Awas scheme and the later Deen Dayal Upadhyaya Griha model schemes show that the state has progressively attempted to use homestays as a tool for tourism development and rural income generation. The 2018 scheme includes provisions for government assistance and financial support for eligible homestay development.  However, having government support does not always mean it is easy for homestay owners to access it. Joshi and Bahuguna (2023) found that owners faced problems with getting loans and completing paperwork. This shows that having a policy is different from being able to actually use it.</w:t>
      </w:r>
      <w:r w:rsidR="004C764D">
        <w:rPr>
          <w:rFonts w:ascii="Times New Roman" w:hAnsi="Times New Roman" w:cs="Times New Roman"/>
          <w:sz w:val="24"/>
          <w:szCs w:val="24"/>
        </w:rPr>
        <w:t xml:space="preserve"> </w:t>
      </w:r>
      <w:r w:rsidR="00BA15A3" w:rsidRPr="00240606">
        <w:rPr>
          <w:rFonts w:ascii="Times New Roman" w:hAnsi="Times New Roman" w:cs="Times New Roman"/>
          <w:sz w:val="24"/>
          <w:szCs w:val="24"/>
        </w:rPr>
        <w:t>As tourism expands, increased household income may encourage more homestays and greater tourist capacity, which can</w:t>
      </w:r>
      <w:r w:rsidR="0004082E" w:rsidRPr="00240606">
        <w:rPr>
          <w:rFonts w:ascii="Times New Roman" w:hAnsi="Times New Roman" w:cs="Times New Roman"/>
          <w:sz w:val="24"/>
          <w:szCs w:val="24"/>
        </w:rPr>
        <w:t>, in turn, increase pressure on water, waste systems,</w:t>
      </w:r>
      <w:r w:rsidR="00BA15A3" w:rsidRPr="00240606">
        <w:rPr>
          <w:rFonts w:ascii="Times New Roman" w:hAnsi="Times New Roman" w:cs="Times New Roman"/>
          <w:sz w:val="24"/>
          <w:szCs w:val="24"/>
        </w:rPr>
        <w:t xml:space="preserve"> and infrastructure. Therefore, the objective cannot simply be to maximise the number of homestays.</w:t>
      </w:r>
    </w:p>
    <w:p w14:paraId="4322F512" w14:textId="77777777" w:rsidR="00BA15A3" w:rsidRPr="00240606" w:rsidRDefault="00BA15A3" w:rsidP="004C764D">
      <w:pPr>
        <w:spacing w:line="360" w:lineRule="auto"/>
        <w:jc w:val="both"/>
        <w:rPr>
          <w:rFonts w:ascii="Times New Roman" w:hAnsi="Times New Roman" w:cs="Times New Roman"/>
          <w:sz w:val="24"/>
          <w:szCs w:val="24"/>
        </w:rPr>
      </w:pPr>
    </w:p>
    <w:p w14:paraId="263A7499" w14:textId="7724EA88"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b/>
          <w:bCs/>
          <w:sz w:val="24"/>
          <w:szCs w:val="24"/>
        </w:rPr>
        <w:t>5.</w:t>
      </w:r>
      <w:r w:rsidR="00505BA8" w:rsidRPr="00240606">
        <w:rPr>
          <w:rFonts w:ascii="Times New Roman" w:hAnsi="Times New Roman" w:cs="Times New Roman"/>
          <w:b/>
          <w:bCs/>
          <w:sz w:val="24"/>
          <w:szCs w:val="24"/>
        </w:rPr>
        <w:t>6</w:t>
      </w:r>
      <w:r w:rsidRPr="00240606">
        <w:rPr>
          <w:rFonts w:ascii="Times New Roman" w:hAnsi="Times New Roman" w:cs="Times New Roman"/>
          <w:b/>
          <w:bCs/>
          <w:sz w:val="24"/>
          <w:szCs w:val="24"/>
        </w:rPr>
        <w:t xml:space="preserve"> Environmental Limits and the Question of Scale</w:t>
      </w:r>
    </w:p>
    <w:p w14:paraId="0B985C25" w14:textId="032BB8C9" w:rsidR="006C1E23" w:rsidRPr="00240606" w:rsidRDefault="001F1098"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The field discussions around water, waste, and carrying capacity showed that homestays cannot automatically be considered sustainable.</w:t>
      </w:r>
      <w:r w:rsidR="004C764D">
        <w:rPr>
          <w:rFonts w:ascii="Times New Roman" w:hAnsi="Times New Roman" w:cs="Times New Roman"/>
          <w:sz w:val="24"/>
          <w:szCs w:val="24"/>
        </w:rPr>
        <w:t xml:space="preserve"> </w:t>
      </w:r>
      <w:r w:rsidR="003E4CD6" w:rsidRPr="00240606">
        <w:rPr>
          <w:rFonts w:ascii="Times New Roman" w:hAnsi="Times New Roman" w:cs="Times New Roman"/>
          <w:sz w:val="24"/>
          <w:szCs w:val="24"/>
        </w:rPr>
        <w:t>In Satkhol, homestay owners discussed challenges related to water availability and waste management.</w:t>
      </w:r>
      <w:r w:rsidR="004C764D">
        <w:rPr>
          <w:rFonts w:ascii="Times New Roman" w:hAnsi="Times New Roman" w:cs="Times New Roman"/>
          <w:sz w:val="24"/>
          <w:szCs w:val="24"/>
        </w:rPr>
        <w:t xml:space="preserve"> </w:t>
      </w:r>
      <w:r w:rsidR="006C1E23" w:rsidRPr="00240606">
        <w:rPr>
          <w:rFonts w:ascii="Times New Roman" w:hAnsi="Times New Roman" w:cs="Times New Roman"/>
          <w:sz w:val="24"/>
          <w:szCs w:val="24"/>
        </w:rPr>
        <w:t>Research from other parts of Uttarakhand shows similar issues. Sati and Banerjee (2025) found problems with water supply, sanitation, electricity, and communication in several homestays in the Tons River Basin. This suggests that rural tourism needs basic infrastructure to grow and remain viable. Changes in rainfall and reduced availability of natural water sources also add to these challenges.</w:t>
      </w:r>
    </w:p>
    <w:p w14:paraId="5281725A" w14:textId="67D25875"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This is especially relevant to Sunkiya, where the homestay initiative is still growing. The existing homestays and plans for more can create important livelihood opportunities for local people. At the same time, because tourism is still developing, there is a chance to think about the area's environmental limits before it grows too much. This creates a paradox: the success of rural homestays can eventually lead to the same environmental pressures that they aim to avoid.</w:t>
      </w:r>
    </w:p>
    <w:p w14:paraId="52F18D8E" w14:textId="606C035B" w:rsidR="00EF724B"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As tourism expands, increased household income may encourage more homestays and greater tourist capacity, which can in turn increase pressure on water, waste systems and infrastructure.</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Therefore, the objective cannot simply be to maximise the number of homestays. The more meaningful sustainability question is:</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How much tourism can the village absorb while retaining control over its resources, social character and livelihood systems?</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This is where lessons from the broader urban immersion become relevant. In Nainital, our fieldwork repeatedly exposed the consequences of tourism pressure on mobility, public infrastructure and everyday life. The rural cases provide an alternative setting but not necessarily an exemption from the same underlying problem of growth exceeding local capacity.</w:t>
      </w:r>
    </w:p>
    <w:p w14:paraId="19727FDE" w14:textId="77777777" w:rsidR="0004082E" w:rsidRPr="00240606" w:rsidRDefault="0004082E" w:rsidP="004C764D">
      <w:pPr>
        <w:spacing w:line="360" w:lineRule="auto"/>
        <w:jc w:val="both"/>
        <w:rPr>
          <w:rFonts w:ascii="Times New Roman" w:hAnsi="Times New Roman" w:cs="Times New Roman"/>
          <w:sz w:val="24"/>
          <w:szCs w:val="24"/>
        </w:rPr>
      </w:pPr>
    </w:p>
    <w:p w14:paraId="0EFD708A" w14:textId="77777777" w:rsidR="00033047" w:rsidRDefault="00033047" w:rsidP="004C764D">
      <w:pPr>
        <w:spacing w:line="360" w:lineRule="auto"/>
        <w:jc w:val="both"/>
        <w:rPr>
          <w:rFonts w:ascii="Times New Roman" w:hAnsi="Times New Roman" w:cs="Times New Roman"/>
          <w:b/>
          <w:bCs/>
          <w:sz w:val="24"/>
          <w:szCs w:val="24"/>
        </w:rPr>
      </w:pPr>
    </w:p>
    <w:p w14:paraId="148BD597" w14:textId="77777777" w:rsidR="004C764D" w:rsidRDefault="004C764D" w:rsidP="004C764D">
      <w:pPr>
        <w:spacing w:line="360" w:lineRule="auto"/>
        <w:jc w:val="both"/>
        <w:rPr>
          <w:rFonts w:ascii="Times New Roman" w:hAnsi="Times New Roman" w:cs="Times New Roman"/>
          <w:b/>
          <w:bCs/>
          <w:sz w:val="24"/>
          <w:szCs w:val="24"/>
        </w:rPr>
      </w:pPr>
    </w:p>
    <w:p w14:paraId="2AC1C70F" w14:textId="77777777" w:rsidR="004C764D" w:rsidRDefault="004C764D">
      <w:pPr>
        <w:rPr>
          <w:rFonts w:ascii="Times New Roman" w:hAnsi="Times New Roman" w:cs="Times New Roman"/>
          <w:b/>
          <w:bCs/>
          <w:sz w:val="24"/>
          <w:szCs w:val="24"/>
        </w:rPr>
      </w:pPr>
      <w:r>
        <w:rPr>
          <w:rFonts w:ascii="Times New Roman" w:hAnsi="Times New Roman" w:cs="Times New Roman"/>
          <w:b/>
          <w:bCs/>
          <w:sz w:val="24"/>
          <w:szCs w:val="24"/>
        </w:rPr>
        <w:br w:type="page"/>
      </w:r>
    </w:p>
    <w:p w14:paraId="5EF83DC8" w14:textId="7055E868" w:rsidR="00033047" w:rsidRPr="00033047" w:rsidRDefault="00033047" w:rsidP="004C764D">
      <w:pPr>
        <w:spacing w:line="360" w:lineRule="auto"/>
        <w:jc w:val="both"/>
        <w:rPr>
          <w:rFonts w:ascii="Times New Roman" w:hAnsi="Times New Roman" w:cs="Times New Roman"/>
          <w:b/>
          <w:bCs/>
          <w:sz w:val="24"/>
          <w:szCs w:val="24"/>
        </w:rPr>
      </w:pPr>
      <w:r w:rsidRPr="00033047">
        <w:rPr>
          <w:rFonts w:ascii="Times New Roman" w:hAnsi="Times New Roman" w:cs="Times New Roman"/>
          <w:b/>
          <w:bCs/>
          <w:sz w:val="24"/>
          <w:szCs w:val="24"/>
        </w:rPr>
        <w:lastRenderedPageBreak/>
        <w:t>5.7 Linkages with the Sustainable Development Goals</w:t>
      </w:r>
    </w:p>
    <w:p w14:paraId="74670AC7" w14:textId="171F66EC" w:rsidR="00033047" w:rsidRDefault="00033047" w:rsidP="004C764D">
      <w:pPr>
        <w:spacing w:line="360" w:lineRule="auto"/>
        <w:jc w:val="both"/>
        <w:rPr>
          <w:rFonts w:ascii="Times New Roman" w:hAnsi="Times New Roman" w:cs="Times New Roman"/>
          <w:sz w:val="24"/>
          <w:szCs w:val="24"/>
        </w:rPr>
      </w:pPr>
      <w:r w:rsidRPr="00033047">
        <w:rPr>
          <w:rFonts w:ascii="Times New Roman" w:hAnsi="Times New Roman" w:cs="Times New Roman"/>
          <w:sz w:val="24"/>
          <w:szCs w:val="24"/>
        </w:rPr>
        <w:t>The findings can be linked to a few Sustainable Development Goals. Homestays support SDG 8 (Decent Work and Economic Growth) by creating income and livelihood opportunities. Women’s participation in Sunkiya also connects with SDG 5 (Gender Equality). The role of local communities and culture relates to SDG 11 (Sustainable Cities and Communities). At the same time, concerns around water and waste show the importance of SDG 6 (Clean Water and Sanitation) and SDG 12 (Responsible Consumption and Production).</w:t>
      </w:r>
    </w:p>
    <w:p w14:paraId="186E4F25" w14:textId="77777777" w:rsidR="00033047" w:rsidRPr="00033047" w:rsidRDefault="00033047" w:rsidP="004C764D">
      <w:pPr>
        <w:spacing w:line="360" w:lineRule="auto"/>
        <w:jc w:val="both"/>
        <w:rPr>
          <w:rFonts w:ascii="Times New Roman" w:hAnsi="Times New Roman" w:cs="Times New Roman"/>
          <w:sz w:val="24"/>
          <w:szCs w:val="24"/>
        </w:rPr>
      </w:pPr>
    </w:p>
    <w:p w14:paraId="3F62DA59" w14:textId="7DA358DC" w:rsidR="00290C14" w:rsidRPr="00033047" w:rsidRDefault="00290C14" w:rsidP="004C764D">
      <w:pPr>
        <w:spacing w:line="360" w:lineRule="auto"/>
        <w:jc w:val="both"/>
        <w:rPr>
          <w:rFonts w:ascii="Times New Roman" w:hAnsi="Times New Roman" w:cs="Times New Roman"/>
          <w:b/>
          <w:bCs/>
          <w:sz w:val="24"/>
          <w:szCs w:val="24"/>
        </w:rPr>
      </w:pPr>
      <w:r w:rsidRPr="00240606">
        <w:rPr>
          <w:rFonts w:ascii="Times New Roman" w:hAnsi="Times New Roman" w:cs="Times New Roman"/>
          <w:b/>
          <w:bCs/>
          <w:sz w:val="24"/>
          <w:szCs w:val="24"/>
        </w:rPr>
        <w:t>5.</w:t>
      </w:r>
      <w:r w:rsidR="004C764D">
        <w:rPr>
          <w:rFonts w:ascii="Times New Roman" w:hAnsi="Times New Roman" w:cs="Times New Roman"/>
          <w:b/>
          <w:bCs/>
          <w:sz w:val="24"/>
          <w:szCs w:val="24"/>
        </w:rPr>
        <w:t>8</w:t>
      </w:r>
      <w:r w:rsidRPr="00240606">
        <w:rPr>
          <w:rFonts w:ascii="Times New Roman" w:hAnsi="Times New Roman" w:cs="Times New Roman"/>
          <w:b/>
          <w:bCs/>
          <w:sz w:val="24"/>
          <w:szCs w:val="24"/>
        </w:rPr>
        <w:t xml:space="preserve"> Limitations</w:t>
      </w:r>
    </w:p>
    <w:p w14:paraId="0C5019B2" w14:textId="4B78B7FF" w:rsidR="00846FC5" w:rsidRPr="00240606" w:rsidRDefault="001416FF" w:rsidP="004C764D">
      <w:pPr>
        <w:spacing w:line="360" w:lineRule="auto"/>
        <w:jc w:val="both"/>
        <w:rPr>
          <w:rFonts w:ascii="Times New Roman" w:hAnsi="Times New Roman" w:cs="Times New Roman"/>
          <w:b/>
          <w:bCs/>
          <w:sz w:val="24"/>
          <w:szCs w:val="24"/>
        </w:rPr>
      </w:pPr>
      <w:r w:rsidRPr="00240606">
        <w:rPr>
          <w:rFonts w:ascii="Times New Roman" w:hAnsi="Times New Roman" w:cs="Times New Roman"/>
          <w:sz w:val="24"/>
          <w:szCs w:val="24"/>
        </w:rPr>
        <w:t>Since the study is based mainly on qualitative field observations, interviews, and interactions with a limited number of homestay households, the findings cannot be generalised to all rural homestays in the region. The scores used in the comparative framework are based on field evidence and researcher interpretation rather than statistical measurements. Therefore, they are useful for comparing Satkhol and Sunkiya but should not be treated as objective or representative measures.</w:t>
      </w:r>
      <w:r w:rsidR="00846FC5" w:rsidRPr="00240606">
        <w:rPr>
          <w:rFonts w:ascii="Times New Roman" w:hAnsi="Times New Roman" w:cs="Times New Roman"/>
          <w:b/>
          <w:bCs/>
          <w:sz w:val="24"/>
          <w:szCs w:val="24"/>
        </w:rPr>
        <w:br w:type="page"/>
      </w:r>
    </w:p>
    <w:p w14:paraId="17D070C2" w14:textId="1CA54B8D" w:rsidR="003E4CD6" w:rsidRPr="00240606" w:rsidRDefault="003E4CD6" w:rsidP="004C764D">
      <w:pPr>
        <w:spacing w:line="360" w:lineRule="auto"/>
        <w:jc w:val="both"/>
        <w:rPr>
          <w:rFonts w:ascii="Times New Roman" w:hAnsi="Times New Roman" w:cs="Times New Roman"/>
          <w:b/>
          <w:bCs/>
          <w:sz w:val="24"/>
          <w:szCs w:val="24"/>
        </w:rPr>
      </w:pPr>
      <w:r w:rsidRPr="00240606">
        <w:rPr>
          <w:rFonts w:ascii="Times New Roman" w:hAnsi="Times New Roman" w:cs="Times New Roman"/>
          <w:b/>
          <w:bCs/>
          <w:sz w:val="24"/>
          <w:szCs w:val="24"/>
        </w:rPr>
        <w:lastRenderedPageBreak/>
        <w:t>6. Discussion</w:t>
      </w:r>
    </w:p>
    <w:p w14:paraId="328272BB" w14:textId="4423B533"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 xml:space="preserve">The comparison between Satkhol and Sunkiya shows that homestays can support </w:t>
      </w:r>
      <w:r w:rsidR="00DE0B2E" w:rsidRPr="00240606">
        <w:rPr>
          <w:rFonts w:ascii="Times New Roman" w:hAnsi="Times New Roman" w:cs="Times New Roman"/>
          <w:sz w:val="24"/>
          <w:szCs w:val="24"/>
        </w:rPr>
        <w:t xml:space="preserve">the </w:t>
      </w:r>
      <w:r w:rsidRPr="00240606">
        <w:rPr>
          <w:rFonts w:ascii="Times New Roman" w:hAnsi="Times New Roman" w:cs="Times New Roman"/>
          <w:sz w:val="24"/>
          <w:szCs w:val="24"/>
        </w:rPr>
        <w:t xml:space="preserve">livelihoods </w:t>
      </w:r>
      <w:r w:rsidR="00DE0B2E" w:rsidRPr="00240606">
        <w:rPr>
          <w:rFonts w:ascii="Times New Roman" w:hAnsi="Times New Roman" w:cs="Times New Roman"/>
          <w:sz w:val="24"/>
          <w:szCs w:val="24"/>
        </w:rPr>
        <w:t>of local residents. They</w:t>
      </w:r>
      <w:r w:rsidRPr="00240606">
        <w:rPr>
          <w:rFonts w:ascii="Times New Roman" w:hAnsi="Times New Roman" w:cs="Times New Roman"/>
          <w:sz w:val="24"/>
          <w:szCs w:val="24"/>
        </w:rPr>
        <w:t xml:space="preserve"> </w:t>
      </w:r>
      <w:r w:rsidR="00DE0B2E" w:rsidRPr="00240606">
        <w:rPr>
          <w:rFonts w:ascii="Times New Roman" w:hAnsi="Times New Roman" w:cs="Times New Roman"/>
          <w:sz w:val="24"/>
          <w:szCs w:val="24"/>
        </w:rPr>
        <w:t>provide extra income and create opportunities for women.</w:t>
      </w:r>
      <w:r w:rsidRPr="00240606">
        <w:rPr>
          <w:rFonts w:ascii="Times New Roman" w:hAnsi="Times New Roman" w:cs="Times New Roman"/>
          <w:sz w:val="24"/>
          <w:szCs w:val="24"/>
        </w:rPr>
        <w:t xml:space="preserve"> At the same time, tourism</w:t>
      </w:r>
      <w:r w:rsidR="00EC3621" w:rsidRPr="00240606">
        <w:rPr>
          <w:rFonts w:ascii="Times New Roman" w:hAnsi="Times New Roman" w:cs="Times New Roman"/>
          <w:sz w:val="24"/>
          <w:szCs w:val="24"/>
        </w:rPr>
        <w:t xml:space="preserve"> puts pressure on </w:t>
      </w:r>
      <w:r w:rsidR="00E17967" w:rsidRPr="00240606">
        <w:rPr>
          <w:rFonts w:ascii="Times New Roman" w:hAnsi="Times New Roman" w:cs="Times New Roman"/>
          <w:sz w:val="24"/>
          <w:szCs w:val="24"/>
        </w:rPr>
        <w:t>resources</w:t>
      </w:r>
      <w:r w:rsidRPr="00240606">
        <w:rPr>
          <w:rFonts w:ascii="Times New Roman" w:hAnsi="Times New Roman" w:cs="Times New Roman"/>
          <w:sz w:val="24"/>
          <w:szCs w:val="24"/>
        </w:rPr>
        <w:t>. Th</w:t>
      </w:r>
      <w:r w:rsidR="00E17967" w:rsidRPr="00240606">
        <w:rPr>
          <w:rFonts w:ascii="Times New Roman" w:hAnsi="Times New Roman" w:cs="Times New Roman"/>
          <w:sz w:val="24"/>
          <w:szCs w:val="24"/>
        </w:rPr>
        <w:t>e</w:t>
      </w:r>
      <w:r w:rsidRPr="00240606">
        <w:rPr>
          <w:rFonts w:ascii="Times New Roman" w:hAnsi="Times New Roman" w:cs="Times New Roman"/>
          <w:sz w:val="24"/>
          <w:szCs w:val="24"/>
        </w:rPr>
        <w:t xml:space="preserve"> sustainability</w:t>
      </w:r>
      <w:r w:rsidR="00E17967" w:rsidRPr="00240606">
        <w:rPr>
          <w:rFonts w:ascii="Times New Roman" w:hAnsi="Times New Roman" w:cs="Times New Roman"/>
          <w:sz w:val="24"/>
          <w:szCs w:val="24"/>
        </w:rPr>
        <w:t xml:space="preserve"> of homestays</w:t>
      </w:r>
      <w:r w:rsidRPr="00240606">
        <w:rPr>
          <w:rFonts w:ascii="Times New Roman" w:hAnsi="Times New Roman" w:cs="Times New Roman"/>
          <w:sz w:val="24"/>
          <w:szCs w:val="24"/>
        </w:rPr>
        <w:t xml:space="preserve"> depends on how tourism is managed and how well it fits into the needs and resources of the community.</w:t>
      </w:r>
    </w:p>
    <w:p w14:paraId="0E908428" w14:textId="2A5ED7CF"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 xml:space="preserve">The main difference between the two villages is the stage of tourism development. Satkhol has a more established homestay system, with tourism already forming part of some local livelihoods. The focus there is more on managing the challenges that come with tourism. Sunkiya is at an earlier stage, where homestays are still developing as a source of livelihood. The comparison also shows that the difference between mass tourism and sustainable tourism is not always clear-cut. The scale of tourism matters, but so do factors such as how </w:t>
      </w:r>
      <w:r w:rsidR="00364066" w:rsidRPr="00240606">
        <w:rPr>
          <w:rFonts w:ascii="Times New Roman" w:hAnsi="Times New Roman" w:cs="Times New Roman"/>
          <w:sz w:val="24"/>
          <w:szCs w:val="24"/>
        </w:rPr>
        <w:t>it is managed, who benefits, the availability of resources, and how closely it fits with</w:t>
      </w:r>
      <w:r w:rsidRPr="00240606">
        <w:rPr>
          <w:rFonts w:ascii="Times New Roman" w:hAnsi="Times New Roman" w:cs="Times New Roman"/>
          <w:sz w:val="24"/>
          <w:szCs w:val="24"/>
        </w:rPr>
        <w:t xml:space="preserve"> existing local livelihoods.</w:t>
      </w:r>
    </w:p>
    <w:p w14:paraId="55C79A08" w14:textId="31349FBD"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We can also understand the differences between the two villages through community-based tourism. Community involvement is stronger when tourism is shaped by local people, not just located in their area. The Gha</w:t>
      </w:r>
      <w:r w:rsidR="00865220" w:rsidRPr="00240606">
        <w:rPr>
          <w:rFonts w:ascii="Times New Roman" w:hAnsi="Times New Roman" w:cs="Times New Roman"/>
          <w:sz w:val="24"/>
          <w:szCs w:val="24"/>
        </w:rPr>
        <w:t>s</w:t>
      </w:r>
      <w:r w:rsidRPr="00240606">
        <w:rPr>
          <w:rFonts w:ascii="Times New Roman" w:hAnsi="Times New Roman" w:cs="Times New Roman"/>
          <w:sz w:val="24"/>
          <w:szCs w:val="24"/>
        </w:rPr>
        <w:t>yari initiative in Sunkiya is important because women play a central role in developing tourism. In contrast, Satkhol shows how a community-based model can evolve once tourism becomes more established.</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 xml:space="preserve">The environmental </w:t>
      </w:r>
      <w:r w:rsidR="009635DA" w:rsidRPr="00240606">
        <w:rPr>
          <w:rFonts w:ascii="Times New Roman" w:hAnsi="Times New Roman" w:cs="Times New Roman"/>
          <w:sz w:val="24"/>
          <w:szCs w:val="24"/>
        </w:rPr>
        <w:t>aspect</w:t>
      </w:r>
      <w:r w:rsidRPr="00240606">
        <w:rPr>
          <w:rFonts w:ascii="Times New Roman" w:hAnsi="Times New Roman" w:cs="Times New Roman"/>
          <w:sz w:val="24"/>
          <w:szCs w:val="24"/>
        </w:rPr>
        <w:t xml:space="preserve"> of tourism also supports this argument. During our village visits, </w:t>
      </w:r>
      <w:r w:rsidR="009635DA" w:rsidRPr="00240606">
        <w:rPr>
          <w:rFonts w:ascii="Times New Roman" w:hAnsi="Times New Roman" w:cs="Times New Roman"/>
          <w:sz w:val="24"/>
          <w:szCs w:val="24"/>
        </w:rPr>
        <w:t>the homestay owners</w:t>
      </w:r>
      <w:r w:rsidRPr="00240606">
        <w:rPr>
          <w:rFonts w:ascii="Times New Roman" w:hAnsi="Times New Roman" w:cs="Times New Roman"/>
          <w:sz w:val="24"/>
          <w:szCs w:val="24"/>
        </w:rPr>
        <w:t xml:space="preserve"> spoke about water scarcity and changing rainfall patterns. This showed that tourism and livelihoods are closely linked to </w:t>
      </w:r>
      <w:r w:rsidR="009F0810" w:rsidRPr="00240606">
        <w:rPr>
          <w:rFonts w:ascii="Times New Roman" w:hAnsi="Times New Roman" w:cs="Times New Roman"/>
          <w:sz w:val="24"/>
          <w:szCs w:val="24"/>
        </w:rPr>
        <w:t>the management of local resources</w:t>
      </w:r>
      <w:r w:rsidRPr="00240606">
        <w:rPr>
          <w:rFonts w:ascii="Times New Roman" w:hAnsi="Times New Roman" w:cs="Times New Roman"/>
          <w:sz w:val="24"/>
          <w:szCs w:val="24"/>
        </w:rPr>
        <w:t>.</w:t>
      </w:r>
    </w:p>
    <w:p w14:paraId="25AE866F" w14:textId="2F03B932"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An important point is how tourism growth is managed. Sunkiya's growing homestay sector provides a chance to plan for sustainability from the beginning. Instead of waiting for problems to appear, the village could monitor things like water use, waste, construction, tourist numbers, and how tourism income is shared within the community.</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 xml:space="preserve">Satkhol, on the other hand, provides an opportunity to learn from a more established </w:t>
      </w:r>
      <w:r w:rsidR="00865220" w:rsidRPr="00240606">
        <w:rPr>
          <w:rFonts w:ascii="Times New Roman" w:hAnsi="Times New Roman" w:cs="Times New Roman"/>
          <w:sz w:val="24"/>
          <w:szCs w:val="24"/>
        </w:rPr>
        <w:t>ho</w:t>
      </w:r>
      <w:r w:rsidRPr="00240606">
        <w:rPr>
          <w:rFonts w:ascii="Times New Roman" w:hAnsi="Times New Roman" w:cs="Times New Roman"/>
          <w:sz w:val="24"/>
          <w:szCs w:val="24"/>
        </w:rPr>
        <w:t>mestay model. Its experience can help show which parts of tourism development support local livelihoods and which may create new pressures.</w:t>
      </w:r>
    </w:p>
    <w:p w14:paraId="3BD63992" w14:textId="5D93EA4F"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The policy environment is also continuing to expand beyond the state level. A 2025 Press Information Bureau release stated that the Government of India has introduced collateral-Sunkiya's institutional credit through Mudra Loans for homestays and included homestays within the Pradhan Mantri Janjatiya Unnat Gr</w:t>
      </w:r>
      <w:r w:rsidR="004C764D">
        <w:rPr>
          <w:rFonts w:ascii="Times New Roman" w:hAnsi="Times New Roman" w:cs="Times New Roman"/>
          <w:sz w:val="24"/>
          <w:szCs w:val="24"/>
        </w:rPr>
        <w:t>a</w:t>
      </w:r>
      <w:r w:rsidRPr="00240606">
        <w:rPr>
          <w:rFonts w:ascii="Times New Roman" w:hAnsi="Times New Roman" w:cs="Times New Roman"/>
          <w:sz w:val="24"/>
          <w:szCs w:val="24"/>
        </w:rPr>
        <w:t xml:space="preserve">m Abhiyan. The scheme also provides for </w:t>
      </w:r>
      <w:r w:rsidRPr="00240606">
        <w:rPr>
          <w:rFonts w:ascii="Times New Roman" w:hAnsi="Times New Roman" w:cs="Times New Roman"/>
          <w:sz w:val="24"/>
          <w:szCs w:val="24"/>
        </w:rPr>
        <w:lastRenderedPageBreak/>
        <w:t xml:space="preserve">capacity building and training of homestay </w:t>
      </w:r>
      <w:r w:rsidR="00AF2638">
        <w:rPr>
          <w:rFonts w:ascii="Times New Roman" w:hAnsi="Times New Roman" w:cs="Times New Roman"/>
          <w:sz w:val="24"/>
          <w:szCs w:val="24"/>
        </w:rPr>
        <w:t>owners (Ministry</w:t>
      </w:r>
      <w:r w:rsidR="00AF2638" w:rsidRPr="00AF2638">
        <w:rPr>
          <w:rFonts w:ascii="Times New Roman" w:hAnsi="Times New Roman" w:cs="Times New Roman"/>
          <w:sz w:val="24"/>
          <w:szCs w:val="24"/>
        </w:rPr>
        <w:t xml:space="preserve"> of Tourism, 2025)</w:t>
      </w:r>
      <w:r w:rsidRPr="00240606">
        <w:rPr>
          <w:rFonts w:ascii="Times New Roman" w:hAnsi="Times New Roman" w:cs="Times New Roman"/>
          <w:sz w:val="24"/>
          <w:szCs w:val="24"/>
        </w:rPr>
        <w:t xml:space="preserve">. </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This shows that homestays are increasingly being seen as a way to support rural development and local livelihoods. However, the fieldwork showed that financial and institutional support alone may not be enough to make a homestay sustainable. Local participation, availability of resources, women's involvement, and how tourism fits into existing livelihoods also play an important role.</w:t>
      </w:r>
    </w:p>
    <w:p w14:paraId="0403FF2A" w14:textId="61D31625"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The two cases, therefore, should not be understood as competing models in which one is sustainable and the other is not. They represent different stages of a rural tourism trajectory.</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Satkhol can provide lessons about managing established tourism.</w:t>
      </w:r>
      <w:r w:rsidR="00865220" w:rsidRPr="00240606">
        <w:rPr>
          <w:rFonts w:ascii="Times New Roman" w:hAnsi="Times New Roman" w:cs="Times New Roman"/>
          <w:sz w:val="24"/>
          <w:szCs w:val="24"/>
        </w:rPr>
        <w:t xml:space="preserve"> </w:t>
      </w:r>
      <w:r w:rsidRPr="00240606">
        <w:rPr>
          <w:rFonts w:ascii="Times New Roman" w:hAnsi="Times New Roman" w:cs="Times New Roman"/>
          <w:sz w:val="24"/>
          <w:szCs w:val="24"/>
        </w:rPr>
        <w:t>Sunkiya can provide lessons about designing emerging tourism.</w:t>
      </w:r>
      <w:r w:rsidR="00865220" w:rsidRPr="00240606">
        <w:rPr>
          <w:rFonts w:ascii="Times New Roman" w:hAnsi="Times New Roman" w:cs="Times New Roman"/>
          <w:sz w:val="24"/>
          <w:szCs w:val="24"/>
        </w:rPr>
        <w:t xml:space="preserve"> </w:t>
      </w:r>
      <w:r w:rsidRPr="00240606">
        <w:rPr>
          <w:rFonts w:ascii="Times New Roman" w:hAnsi="Times New Roman" w:cs="Times New Roman"/>
          <w:sz w:val="24"/>
          <w:szCs w:val="24"/>
        </w:rPr>
        <w:t>This distinction is the most important contribution of the comparison.</w:t>
      </w:r>
    </w:p>
    <w:p w14:paraId="178DE0E6" w14:textId="77777777" w:rsidR="00865220" w:rsidRPr="00240606" w:rsidRDefault="00865220"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br w:type="page"/>
      </w:r>
    </w:p>
    <w:p w14:paraId="2860A688" w14:textId="56F88833" w:rsidR="003E4CD6" w:rsidRPr="004C764D" w:rsidRDefault="003E4CD6" w:rsidP="004C764D">
      <w:pPr>
        <w:spacing w:line="360" w:lineRule="auto"/>
        <w:jc w:val="both"/>
        <w:rPr>
          <w:rFonts w:ascii="Times New Roman" w:hAnsi="Times New Roman" w:cs="Times New Roman"/>
          <w:b/>
          <w:bCs/>
          <w:sz w:val="28"/>
          <w:szCs w:val="28"/>
        </w:rPr>
      </w:pPr>
      <w:r w:rsidRPr="004C764D">
        <w:rPr>
          <w:rFonts w:ascii="Times New Roman" w:hAnsi="Times New Roman" w:cs="Times New Roman"/>
          <w:b/>
          <w:bCs/>
          <w:sz w:val="28"/>
          <w:szCs w:val="28"/>
        </w:rPr>
        <w:lastRenderedPageBreak/>
        <w:t>7. Conclusion</w:t>
      </w:r>
    </w:p>
    <w:p w14:paraId="49F9CE7C" w14:textId="320B7773"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Homestays are becoming a popular way to promote sustainable tourism in the Indian Himalayan Region</w:t>
      </w:r>
      <w:r w:rsidR="00DF3CF7" w:rsidRPr="00240606">
        <w:rPr>
          <w:rFonts w:ascii="Times New Roman" w:hAnsi="Times New Roman" w:cs="Times New Roman"/>
          <w:sz w:val="24"/>
          <w:szCs w:val="24"/>
        </w:rPr>
        <w:t xml:space="preserve">. </w:t>
      </w:r>
      <w:r w:rsidRPr="00240606">
        <w:rPr>
          <w:rFonts w:ascii="Times New Roman" w:hAnsi="Times New Roman" w:cs="Times New Roman"/>
          <w:sz w:val="24"/>
          <w:szCs w:val="24"/>
        </w:rPr>
        <w:t>However, comparing Satkhol and Sunkiya shows that just being small or rural does not guarantee sustainability for homestays</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Field evidence shows two different paths for tourism development. Satkhol has a more established homestay model where tourism is part of daily life and local jobs. This example highlights the benefits of rural tourism but also raises concerns about water, waste, capacity, and managing growth. On the other hand, Sunkiya features a new woman-centric model where homestays provide new ways to earn income while staying closely linked to family and community life.</w:t>
      </w:r>
    </w:p>
    <w:p w14:paraId="5600D4CC" w14:textId="7708AF32" w:rsidR="003E4CD6" w:rsidRPr="0024060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 xml:space="preserve">Using the Sustainable Livelihoods Framework and a community-based tourism lens demonstrates that the value of homestays extends beyond direct income. </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Sustainability should be seen as a process rather than just a label. A homestay might start as a small, community-focused business, but it can create problems if tourism grows without careful attention to water, waste, infrastructure, and carrying capacity. On the other hand, new projects like the Ghasyari homestay initiative offer a chance to include sustainability from the start of tourism development.</w:t>
      </w:r>
    </w:p>
    <w:p w14:paraId="3C879D7E" w14:textId="6CD4CE6D" w:rsidR="003E4CD6" w:rsidRDefault="003E4CD6" w:rsidP="004C764D">
      <w:pPr>
        <w:spacing w:line="360" w:lineRule="auto"/>
        <w:jc w:val="both"/>
        <w:rPr>
          <w:rFonts w:ascii="Times New Roman" w:hAnsi="Times New Roman" w:cs="Times New Roman"/>
          <w:sz w:val="24"/>
          <w:szCs w:val="24"/>
        </w:rPr>
      </w:pPr>
      <w:r w:rsidRPr="00240606">
        <w:rPr>
          <w:rFonts w:ascii="Times New Roman" w:hAnsi="Times New Roman" w:cs="Times New Roman"/>
          <w:sz w:val="24"/>
          <w:szCs w:val="24"/>
        </w:rPr>
        <w:t>The main takeaway from these two examples is that rural homestays are not automatically sustainable. They can be sustainable if tourism supports local livelihoods and communities help shape its growth. Satkhol shows how to keep an established tourism model, while Sunkiya invites us to think about creating a new model that avoids issues like overtourism.</w:t>
      </w:r>
      <w:r w:rsidR="004C764D">
        <w:rPr>
          <w:rFonts w:ascii="Times New Roman" w:hAnsi="Times New Roman" w:cs="Times New Roman"/>
          <w:sz w:val="24"/>
          <w:szCs w:val="24"/>
        </w:rPr>
        <w:t xml:space="preserve"> </w:t>
      </w:r>
      <w:r w:rsidRPr="00240606">
        <w:rPr>
          <w:rFonts w:ascii="Times New Roman" w:hAnsi="Times New Roman" w:cs="Times New Roman"/>
          <w:sz w:val="24"/>
          <w:szCs w:val="24"/>
        </w:rPr>
        <w:t>For rural tourism in Uttarakhand, the focus should not be only on increasing the number of homestays. It is also important to think about whether the growth of tourism can be managed without putting too much pressure on local resources, livelihoods, and culture.</w:t>
      </w:r>
    </w:p>
    <w:p w14:paraId="2B2D3E28" w14:textId="77777777" w:rsidR="0059321C" w:rsidRDefault="0059321C" w:rsidP="004C764D">
      <w:pPr>
        <w:spacing w:line="360" w:lineRule="auto"/>
        <w:jc w:val="both"/>
        <w:rPr>
          <w:rFonts w:ascii="Times New Roman" w:hAnsi="Times New Roman" w:cs="Times New Roman"/>
          <w:sz w:val="24"/>
          <w:szCs w:val="24"/>
        </w:rPr>
      </w:pPr>
    </w:p>
    <w:p w14:paraId="4A4CAB55" w14:textId="77777777" w:rsidR="0059321C" w:rsidRDefault="0059321C" w:rsidP="004C764D">
      <w:pPr>
        <w:spacing w:line="360" w:lineRule="auto"/>
        <w:jc w:val="both"/>
        <w:rPr>
          <w:rFonts w:ascii="Times New Roman" w:hAnsi="Times New Roman" w:cs="Times New Roman"/>
          <w:sz w:val="24"/>
          <w:szCs w:val="24"/>
        </w:rPr>
      </w:pPr>
    </w:p>
    <w:p w14:paraId="107E0ABB" w14:textId="64EB21DA" w:rsidR="0059321C" w:rsidRPr="0059321C" w:rsidRDefault="0059321C" w:rsidP="004C764D">
      <w:pPr>
        <w:spacing w:line="360" w:lineRule="auto"/>
        <w:jc w:val="both"/>
        <w:rPr>
          <w:rFonts w:ascii="Times New Roman" w:hAnsi="Times New Roman" w:cs="Times New Roman"/>
          <w:b/>
          <w:bCs/>
          <w:sz w:val="28"/>
          <w:szCs w:val="28"/>
        </w:rPr>
      </w:pPr>
      <w:r w:rsidRPr="0059321C">
        <w:rPr>
          <w:rFonts w:ascii="Times New Roman" w:hAnsi="Times New Roman" w:cs="Times New Roman"/>
          <w:b/>
          <w:bCs/>
          <w:sz w:val="28"/>
          <w:szCs w:val="28"/>
        </w:rPr>
        <w:t>8. Declaration of AI Us</w:t>
      </w:r>
      <w:r>
        <w:rPr>
          <w:rFonts w:ascii="Times New Roman" w:hAnsi="Times New Roman" w:cs="Times New Roman"/>
          <w:b/>
          <w:bCs/>
          <w:sz w:val="28"/>
          <w:szCs w:val="28"/>
        </w:rPr>
        <w:t>e</w:t>
      </w:r>
    </w:p>
    <w:p w14:paraId="1F77A2B1" w14:textId="3CB3F9EF" w:rsidR="0059321C" w:rsidRPr="00240606" w:rsidRDefault="0059321C" w:rsidP="004C764D">
      <w:pPr>
        <w:spacing w:line="360" w:lineRule="auto"/>
        <w:jc w:val="both"/>
        <w:rPr>
          <w:rFonts w:ascii="Times New Roman" w:hAnsi="Times New Roman" w:cs="Times New Roman"/>
          <w:sz w:val="24"/>
          <w:szCs w:val="24"/>
        </w:rPr>
      </w:pPr>
      <w:r w:rsidRPr="0059321C">
        <w:rPr>
          <w:rFonts w:ascii="Times New Roman" w:hAnsi="Times New Roman" w:cs="Times New Roman"/>
          <w:sz w:val="24"/>
          <w:szCs w:val="24"/>
        </w:rPr>
        <w:t xml:space="preserve">AI tools were used to assist with language refinement, sentence restructuring, and organisation during the preparation of this paper. The field observations, analysis, interpretation, and conclusions presented in the paper are </w:t>
      </w:r>
      <w:r>
        <w:rPr>
          <w:rFonts w:ascii="Times New Roman" w:hAnsi="Times New Roman" w:cs="Times New Roman"/>
          <w:sz w:val="24"/>
          <w:szCs w:val="24"/>
        </w:rPr>
        <w:t>the author’s</w:t>
      </w:r>
      <w:r w:rsidRPr="0059321C">
        <w:rPr>
          <w:rFonts w:ascii="Times New Roman" w:hAnsi="Times New Roman" w:cs="Times New Roman"/>
          <w:sz w:val="24"/>
          <w:szCs w:val="24"/>
        </w:rPr>
        <w:t xml:space="preserve"> own.</w:t>
      </w:r>
    </w:p>
    <w:p w14:paraId="03531785" w14:textId="77777777" w:rsidR="00865220" w:rsidRPr="00240606" w:rsidRDefault="00865220" w:rsidP="001F22EF">
      <w:pPr>
        <w:spacing w:line="360" w:lineRule="auto"/>
        <w:rPr>
          <w:rFonts w:ascii="Times New Roman" w:hAnsi="Times New Roman" w:cs="Times New Roman"/>
          <w:sz w:val="24"/>
          <w:szCs w:val="24"/>
        </w:rPr>
      </w:pPr>
      <w:r w:rsidRPr="00240606">
        <w:rPr>
          <w:rFonts w:ascii="Times New Roman" w:hAnsi="Times New Roman" w:cs="Times New Roman"/>
          <w:sz w:val="24"/>
          <w:szCs w:val="24"/>
        </w:rPr>
        <w:br w:type="page"/>
      </w:r>
    </w:p>
    <w:p w14:paraId="39B1B0FB" w14:textId="6E95C929" w:rsidR="003E4CD6" w:rsidRDefault="003E4CD6" w:rsidP="00582C99">
      <w:pPr>
        <w:spacing w:line="360" w:lineRule="auto"/>
        <w:jc w:val="center"/>
        <w:rPr>
          <w:rFonts w:ascii="Times New Roman" w:hAnsi="Times New Roman" w:cs="Times New Roman"/>
          <w:b/>
          <w:bCs/>
          <w:sz w:val="28"/>
          <w:szCs w:val="28"/>
        </w:rPr>
      </w:pPr>
      <w:r w:rsidRPr="004C764D">
        <w:rPr>
          <w:rFonts w:ascii="Times New Roman" w:hAnsi="Times New Roman" w:cs="Times New Roman"/>
          <w:b/>
          <w:bCs/>
          <w:sz w:val="28"/>
          <w:szCs w:val="28"/>
        </w:rPr>
        <w:lastRenderedPageBreak/>
        <w:t>References</w:t>
      </w:r>
    </w:p>
    <w:p w14:paraId="1ED8D184" w14:textId="77777777" w:rsidR="00582C99" w:rsidRPr="004C764D" w:rsidRDefault="00582C99" w:rsidP="00582C99">
      <w:pPr>
        <w:spacing w:line="360" w:lineRule="auto"/>
        <w:jc w:val="center"/>
        <w:rPr>
          <w:rFonts w:ascii="Times New Roman" w:hAnsi="Times New Roman" w:cs="Times New Roman"/>
          <w:b/>
          <w:bCs/>
          <w:sz w:val="28"/>
          <w:szCs w:val="28"/>
        </w:rPr>
      </w:pPr>
    </w:p>
    <w:p w14:paraId="4F0BA7E9" w14:textId="06E36A31" w:rsidR="00033047" w:rsidRDefault="00033047" w:rsidP="00582C99">
      <w:pPr>
        <w:spacing w:line="480" w:lineRule="auto"/>
        <w:ind w:left="720" w:hanging="720"/>
        <w:rPr>
          <w:rFonts w:ascii="Times New Roman" w:hAnsi="Times New Roman" w:cs="Times New Roman"/>
          <w:sz w:val="24"/>
          <w:szCs w:val="24"/>
        </w:rPr>
      </w:pPr>
      <w:r w:rsidRPr="00033047">
        <w:rPr>
          <w:rFonts w:ascii="Times New Roman" w:hAnsi="Times New Roman" w:cs="Times New Roman"/>
          <w:sz w:val="24"/>
          <w:szCs w:val="24"/>
        </w:rPr>
        <w:t xml:space="preserve">Acharya, B. P., &amp; Halpenny, E. A. (2013). Homestays as an alternative tourism product for sustainable community development: A case study of women-managed tourism product in rural Nepal. </w:t>
      </w:r>
      <w:r w:rsidRPr="00033047">
        <w:rPr>
          <w:rFonts w:ascii="Times New Roman" w:hAnsi="Times New Roman" w:cs="Times New Roman"/>
          <w:i/>
          <w:iCs/>
          <w:sz w:val="24"/>
          <w:szCs w:val="24"/>
        </w:rPr>
        <w:t>Tourism Planning &amp; Development, 10</w:t>
      </w:r>
      <w:r w:rsidRPr="00033047">
        <w:rPr>
          <w:rFonts w:ascii="Times New Roman" w:hAnsi="Times New Roman" w:cs="Times New Roman"/>
          <w:sz w:val="24"/>
          <w:szCs w:val="24"/>
        </w:rPr>
        <w:t>(4), 367–387.</w:t>
      </w:r>
    </w:p>
    <w:p w14:paraId="46A275CA" w14:textId="1960D87E" w:rsidR="003E4CD6" w:rsidRPr="00240606" w:rsidRDefault="003E4CD6" w:rsidP="00582C99">
      <w:pPr>
        <w:spacing w:line="480" w:lineRule="auto"/>
        <w:ind w:left="720" w:hanging="720"/>
        <w:rPr>
          <w:rFonts w:ascii="Times New Roman" w:hAnsi="Times New Roman" w:cs="Times New Roman"/>
          <w:sz w:val="24"/>
          <w:szCs w:val="24"/>
        </w:rPr>
      </w:pPr>
      <w:r w:rsidRPr="00240606">
        <w:rPr>
          <w:rFonts w:ascii="Times New Roman" w:hAnsi="Times New Roman" w:cs="Times New Roman"/>
          <w:sz w:val="24"/>
          <w:szCs w:val="24"/>
        </w:rPr>
        <w:t xml:space="preserve">Imran, M. M., &amp; Nguyen, N. T. B. (2018). A community response to tourism, focusing on the homestay program in K Village in Nainital, Uttarakhand, India. </w:t>
      </w:r>
      <w:r w:rsidRPr="00240606">
        <w:rPr>
          <w:rFonts w:ascii="Times New Roman" w:hAnsi="Times New Roman" w:cs="Times New Roman"/>
          <w:i/>
          <w:iCs/>
          <w:sz w:val="24"/>
          <w:szCs w:val="24"/>
        </w:rPr>
        <w:t>Journal of Urban and Regional Studies on Contemporary India, 4</w:t>
      </w:r>
      <w:r w:rsidRPr="00240606">
        <w:rPr>
          <w:rFonts w:ascii="Times New Roman" w:hAnsi="Times New Roman" w:cs="Times New Roman"/>
          <w:sz w:val="24"/>
          <w:szCs w:val="24"/>
        </w:rPr>
        <w:t xml:space="preserve">(2), 55–62. </w:t>
      </w:r>
      <w:hyperlink r:id="rId7" w:tgtFrame="_blank" w:history="1">
        <w:r w:rsidRPr="00240606">
          <w:rPr>
            <w:rStyle w:val="Hyperlink"/>
            <w:rFonts w:ascii="Times New Roman" w:hAnsi="Times New Roman" w:cs="Times New Roman"/>
            <w:sz w:val="24"/>
            <w:szCs w:val="24"/>
          </w:rPr>
          <w:t>https://doi.org/10.15027/45586</w:t>
        </w:r>
      </w:hyperlink>
      <w:r w:rsidRPr="00240606">
        <w:rPr>
          <w:rFonts w:ascii="Times New Roman" w:hAnsi="Times New Roman" w:cs="Times New Roman"/>
          <w:sz w:val="24"/>
          <w:szCs w:val="24"/>
        </w:rPr>
        <w:t xml:space="preserve"> </w:t>
      </w:r>
    </w:p>
    <w:p w14:paraId="618DA59D" w14:textId="2334FBD1" w:rsidR="003E4CD6" w:rsidRPr="00240606" w:rsidRDefault="003E4CD6" w:rsidP="00582C99">
      <w:pPr>
        <w:spacing w:line="480" w:lineRule="auto"/>
        <w:ind w:left="720" w:hanging="720"/>
        <w:rPr>
          <w:rFonts w:ascii="Times New Roman" w:hAnsi="Times New Roman" w:cs="Times New Roman"/>
          <w:sz w:val="24"/>
          <w:szCs w:val="24"/>
        </w:rPr>
      </w:pPr>
      <w:r w:rsidRPr="00240606">
        <w:rPr>
          <w:rFonts w:ascii="Times New Roman" w:hAnsi="Times New Roman" w:cs="Times New Roman"/>
          <w:sz w:val="24"/>
          <w:szCs w:val="24"/>
        </w:rPr>
        <w:t xml:space="preserve">Joshi, K., &amp; Bahuguna, P. (2023). Motivations and challenges of homestay owners in Uttarakhand. </w:t>
      </w:r>
      <w:r w:rsidRPr="00240606">
        <w:rPr>
          <w:rFonts w:ascii="Times New Roman" w:hAnsi="Times New Roman" w:cs="Times New Roman"/>
          <w:i/>
          <w:iCs/>
          <w:sz w:val="24"/>
          <w:szCs w:val="24"/>
        </w:rPr>
        <w:t>Journal of Tourism Insights, 13</w:t>
      </w:r>
      <w:r w:rsidRPr="00240606">
        <w:rPr>
          <w:rFonts w:ascii="Times New Roman" w:hAnsi="Times New Roman" w:cs="Times New Roman"/>
          <w:sz w:val="24"/>
          <w:szCs w:val="24"/>
        </w:rPr>
        <w:t xml:space="preserve">(1), Article 11. </w:t>
      </w:r>
      <w:hyperlink r:id="rId8" w:tgtFrame="_blank" w:history="1">
        <w:r w:rsidRPr="00240606">
          <w:rPr>
            <w:rStyle w:val="Hyperlink"/>
            <w:rFonts w:ascii="Times New Roman" w:hAnsi="Times New Roman" w:cs="Times New Roman"/>
            <w:sz w:val="24"/>
            <w:szCs w:val="24"/>
          </w:rPr>
          <w:t>https://doi org/10.9707/2328-0824.1233</w:t>
        </w:r>
      </w:hyperlink>
      <w:r w:rsidRPr="00240606">
        <w:rPr>
          <w:rFonts w:ascii="Times New Roman" w:hAnsi="Times New Roman" w:cs="Times New Roman"/>
          <w:sz w:val="24"/>
          <w:szCs w:val="24"/>
        </w:rPr>
        <w:t xml:space="preserve"> </w:t>
      </w:r>
    </w:p>
    <w:p w14:paraId="2316101C" w14:textId="77777777" w:rsidR="004C764D" w:rsidRDefault="003E4CD6" w:rsidP="00582C99">
      <w:pPr>
        <w:spacing w:line="480" w:lineRule="auto"/>
        <w:ind w:left="720" w:hanging="720"/>
        <w:rPr>
          <w:rFonts w:ascii="Times New Roman" w:hAnsi="Times New Roman" w:cs="Times New Roman"/>
          <w:sz w:val="24"/>
          <w:szCs w:val="24"/>
        </w:rPr>
      </w:pPr>
      <w:r w:rsidRPr="00240606">
        <w:rPr>
          <w:rFonts w:ascii="Times New Roman" w:hAnsi="Times New Roman" w:cs="Times New Roman"/>
          <w:sz w:val="24"/>
          <w:szCs w:val="24"/>
        </w:rPr>
        <w:t xml:space="preserve">Lakhera, K., Kumar, S., &amp; Tripathy, R. (2025). Analysis of government guidelines on homestays for rural economic development in the Himalayan state of Uttarakhand, India. </w:t>
      </w:r>
      <w:r w:rsidRPr="00240606">
        <w:rPr>
          <w:rFonts w:ascii="Times New Roman" w:hAnsi="Times New Roman" w:cs="Times New Roman"/>
          <w:i/>
          <w:iCs/>
          <w:sz w:val="24"/>
          <w:szCs w:val="24"/>
        </w:rPr>
        <w:t>Discover Sustainability, 6</w:t>
      </w:r>
      <w:r w:rsidRPr="00240606">
        <w:rPr>
          <w:rFonts w:ascii="Times New Roman" w:hAnsi="Times New Roman" w:cs="Times New Roman"/>
          <w:sz w:val="24"/>
          <w:szCs w:val="24"/>
        </w:rPr>
        <w:t xml:space="preserve">, Article 956. </w:t>
      </w:r>
      <w:hyperlink r:id="rId9" w:tgtFrame="_blank" w:history="1">
        <w:r w:rsidRPr="00240606">
          <w:rPr>
            <w:rStyle w:val="Hyperlink"/>
            <w:rFonts w:ascii="Times New Roman" w:hAnsi="Times New Roman" w:cs="Times New Roman"/>
            <w:sz w:val="24"/>
            <w:szCs w:val="24"/>
          </w:rPr>
          <w:t>https://doi.org 10.1007/s43621-025-00988-2</w:t>
        </w:r>
      </w:hyperlink>
      <w:r w:rsidRPr="00240606">
        <w:rPr>
          <w:rFonts w:ascii="Times New Roman" w:hAnsi="Times New Roman" w:cs="Times New Roman"/>
          <w:sz w:val="24"/>
          <w:szCs w:val="24"/>
        </w:rPr>
        <w:t xml:space="preserve"> </w:t>
      </w:r>
    </w:p>
    <w:p w14:paraId="28A636C2" w14:textId="1350951E" w:rsidR="003E4CD6" w:rsidRPr="00240606" w:rsidRDefault="003E4CD6" w:rsidP="00582C99">
      <w:pPr>
        <w:spacing w:line="480" w:lineRule="auto"/>
        <w:ind w:left="720" w:hanging="720"/>
        <w:rPr>
          <w:rFonts w:ascii="Times New Roman" w:hAnsi="Times New Roman" w:cs="Times New Roman"/>
          <w:sz w:val="24"/>
          <w:szCs w:val="24"/>
        </w:rPr>
      </w:pPr>
      <w:r w:rsidRPr="00240606">
        <w:rPr>
          <w:rFonts w:ascii="Times New Roman" w:hAnsi="Times New Roman" w:cs="Times New Roman"/>
          <w:sz w:val="24"/>
          <w:szCs w:val="24"/>
        </w:rPr>
        <w:t>Sati, V. P., &amp; Baner</w:t>
      </w:r>
      <w:r w:rsidR="004D792B">
        <w:rPr>
          <w:rFonts w:ascii="Times New Roman" w:hAnsi="Times New Roman" w:cs="Times New Roman"/>
          <w:sz w:val="24"/>
          <w:szCs w:val="24"/>
        </w:rPr>
        <w:t>j</w:t>
      </w:r>
      <w:r w:rsidRPr="00240606">
        <w:rPr>
          <w:rFonts w:ascii="Times New Roman" w:hAnsi="Times New Roman" w:cs="Times New Roman"/>
          <w:sz w:val="24"/>
          <w:szCs w:val="24"/>
        </w:rPr>
        <w:t xml:space="preserve">ee, S. (2025). Sustainable homestay tourism for enhancing rural livelihood in the Uttarakhand Himalaya: A study of the Tons River Basin. </w:t>
      </w:r>
      <w:r w:rsidRPr="00240606">
        <w:rPr>
          <w:rFonts w:ascii="Times New Roman" w:hAnsi="Times New Roman" w:cs="Times New Roman"/>
          <w:i/>
          <w:iCs/>
          <w:sz w:val="24"/>
          <w:szCs w:val="24"/>
        </w:rPr>
        <w:t>BIO Web of Conferences, 15</w:t>
      </w:r>
      <w:r w:rsidRPr="00240606">
        <w:rPr>
          <w:rFonts w:ascii="Times New Roman" w:hAnsi="Times New Roman" w:cs="Times New Roman"/>
          <w:sz w:val="24"/>
          <w:szCs w:val="24"/>
        </w:rPr>
        <w:t xml:space="preserve">, 03001. </w:t>
      </w:r>
      <w:hyperlink r:id="rId10" w:tgtFrame="_blank" w:history="1">
        <w:r w:rsidRPr="00240606">
          <w:rPr>
            <w:rStyle w:val="Hyperlink"/>
            <w:rFonts w:ascii="Times New Roman" w:hAnsi="Times New Roman" w:cs="Times New Roman"/>
            <w:sz w:val="24"/>
            <w:szCs w:val="24"/>
          </w:rPr>
          <w:t>https://doi.org/10.1051/bioconf/202515103001</w:t>
        </w:r>
      </w:hyperlink>
    </w:p>
    <w:p w14:paraId="0B8F7351" w14:textId="77777777" w:rsidR="003E4CD6" w:rsidRPr="00240606" w:rsidRDefault="003E4CD6" w:rsidP="00582C99">
      <w:pPr>
        <w:spacing w:line="480" w:lineRule="auto"/>
        <w:ind w:left="720" w:hanging="720"/>
        <w:rPr>
          <w:rFonts w:ascii="Times New Roman" w:hAnsi="Times New Roman" w:cs="Times New Roman"/>
          <w:sz w:val="24"/>
          <w:szCs w:val="24"/>
        </w:rPr>
      </w:pPr>
      <w:r w:rsidRPr="00240606">
        <w:rPr>
          <w:rFonts w:ascii="Times New Roman" w:hAnsi="Times New Roman" w:cs="Times New Roman"/>
          <w:sz w:val="24"/>
          <w:szCs w:val="24"/>
        </w:rPr>
        <w:t xml:space="preserve">Scoones, I. (1998). </w:t>
      </w:r>
      <w:r w:rsidRPr="00240606">
        <w:rPr>
          <w:rFonts w:ascii="Times New Roman" w:hAnsi="Times New Roman" w:cs="Times New Roman"/>
          <w:i/>
          <w:iCs/>
          <w:sz w:val="24"/>
          <w:szCs w:val="24"/>
        </w:rPr>
        <w:t>Sustainable rural livelihoods: A framework for analysis</w:t>
      </w:r>
      <w:r w:rsidRPr="00240606">
        <w:rPr>
          <w:rFonts w:ascii="Times New Roman" w:hAnsi="Times New Roman" w:cs="Times New Roman"/>
          <w:sz w:val="24"/>
          <w:szCs w:val="24"/>
        </w:rPr>
        <w:t>. Institute of Development Studies, University of Sussex.</w:t>
      </w:r>
    </w:p>
    <w:p w14:paraId="19479ECE" w14:textId="77777777" w:rsidR="003E4CD6" w:rsidRPr="00240606" w:rsidRDefault="003E4CD6" w:rsidP="00582C99">
      <w:pPr>
        <w:spacing w:line="480" w:lineRule="auto"/>
        <w:ind w:left="720" w:hanging="720"/>
        <w:rPr>
          <w:rFonts w:ascii="Times New Roman" w:hAnsi="Times New Roman" w:cs="Times New Roman"/>
          <w:sz w:val="24"/>
          <w:szCs w:val="24"/>
        </w:rPr>
      </w:pPr>
      <w:r w:rsidRPr="00240606">
        <w:rPr>
          <w:rFonts w:ascii="Times New Roman" w:hAnsi="Times New Roman" w:cs="Times New Roman"/>
          <w:sz w:val="24"/>
          <w:szCs w:val="24"/>
        </w:rPr>
        <w:t xml:space="preserve">Sharma, A., &amp; Kumar, P. (2024). Homestay tourism in Indian Himalayas: Progress, participant experiences, and challenges. In </w:t>
      </w:r>
      <w:r w:rsidRPr="00240606">
        <w:rPr>
          <w:rFonts w:ascii="Times New Roman" w:hAnsi="Times New Roman" w:cs="Times New Roman"/>
          <w:i/>
          <w:iCs/>
          <w:sz w:val="24"/>
          <w:szCs w:val="24"/>
        </w:rPr>
        <w:t xml:space="preserve">Managing tourism and hospitality sectors </w:t>
      </w:r>
      <w:r w:rsidRPr="00240606">
        <w:rPr>
          <w:rFonts w:ascii="Times New Roman" w:hAnsi="Times New Roman" w:cs="Times New Roman"/>
          <w:i/>
          <w:iCs/>
          <w:sz w:val="24"/>
          <w:szCs w:val="24"/>
        </w:rPr>
        <w:lastRenderedPageBreak/>
        <w:t>for sustainable global transformation</w:t>
      </w:r>
      <w:r w:rsidRPr="00240606">
        <w:rPr>
          <w:rFonts w:ascii="Times New Roman" w:hAnsi="Times New Roman" w:cs="Times New Roman"/>
          <w:sz w:val="24"/>
          <w:szCs w:val="24"/>
        </w:rPr>
        <w:t xml:space="preserve"> (pp. 77–91). IGI Global. </w:t>
      </w:r>
      <w:hyperlink r:id="rId11" w:tgtFrame="_blank" w:history="1">
        <w:r w:rsidRPr="00240606">
          <w:rPr>
            <w:rStyle w:val="Hyperlink"/>
            <w:rFonts w:ascii="Times New Roman" w:hAnsi="Times New Roman" w:cs="Times New Roman"/>
            <w:sz w:val="24"/>
            <w:szCs w:val="24"/>
          </w:rPr>
          <w:t>https://doi.org/10.4018/979-8-3693-6260-0.ch006</w:t>
        </w:r>
      </w:hyperlink>
    </w:p>
    <w:p w14:paraId="68E88B9E" w14:textId="77777777" w:rsidR="003E4CD6" w:rsidRPr="00240606" w:rsidRDefault="003E4CD6" w:rsidP="00582C99">
      <w:pPr>
        <w:spacing w:line="480" w:lineRule="auto"/>
        <w:ind w:left="720" w:hanging="720"/>
        <w:rPr>
          <w:rFonts w:ascii="Times New Roman" w:hAnsi="Times New Roman" w:cs="Times New Roman"/>
          <w:sz w:val="24"/>
          <w:szCs w:val="24"/>
        </w:rPr>
      </w:pPr>
      <w:r w:rsidRPr="00240606">
        <w:rPr>
          <w:rFonts w:ascii="Times New Roman" w:hAnsi="Times New Roman" w:cs="Times New Roman"/>
          <w:sz w:val="24"/>
          <w:szCs w:val="24"/>
        </w:rPr>
        <w:t xml:space="preserve">Government of Uttarakhand. (2015. </w:t>
      </w:r>
      <w:r w:rsidRPr="00240606">
        <w:rPr>
          <w:rFonts w:ascii="Times New Roman" w:hAnsi="Times New Roman" w:cs="Times New Roman"/>
          <w:i/>
          <w:iCs/>
          <w:sz w:val="24"/>
          <w:szCs w:val="24"/>
        </w:rPr>
        <w:t>Atithi Uttarakhand Griha Awas Yojana: Niyamawali</w:t>
      </w:r>
      <w:r w:rsidRPr="00240606">
        <w:rPr>
          <w:rFonts w:ascii="Times New Roman" w:hAnsi="Times New Roman" w:cs="Times New Roman"/>
          <w:sz w:val="24"/>
          <w:szCs w:val="24"/>
        </w:rPr>
        <w:t xml:space="preserve"> [Guidelines].</w:t>
      </w:r>
    </w:p>
    <w:p w14:paraId="3C412196" w14:textId="079CB270" w:rsidR="003E4CD6" w:rsidRPr="00240606" w:rsidRDefault="003E4CD6" w:rsidP="00582C99">
      <w:pPr>
        <w:spacing w:line="480" w:lineRule="auto"/>
        <w:ind w:left="720" w:hanging="720"/>
        <w:rPr>
          <w:rFonts w:ascii="Times New Roman" w:hAnsi="Times New Roman" w:cs="Times New Roman"/>
          <w:sz w:val="24"/>
          <w:szCs w:val="24"/>
        </w:rPr>
      </w:pPr>
      <w:r w:rsidRPr="00240606">
        <w:rPr>
          <w:rFonts w:ascii="Times New Roman" w:hAnsi="Times New Roman" w:cs="Times New Roman"/>
          <w:sz w:val="24"/>
          <w:szCs w:val="24"/>
        </w:rPr>
        <w:t xml:space="preserve">Government of Uttarakhand. (2018). </w:t>
      </w:r>
      <w:r w:rsidRPr="00240606">
        <w:rPr>
          <w:rFonts w:ascii="Times New Roman" w:hAnsi="Times New Roman" w:cs="Times New Roman"/>
          <w:i/>
          <w:iCs/>
          <w:sz w:val="24"/>
          <w:szCs w:val="24"/>
        </w:rPr>
        <w:t>Deen Dayal Upadhyaya Griha Awaas Vikas Yojana: Niyamawali</w:t>
      </w:r>
      <w:r w:rsidRPr="00240606">
        <w:rPr>
          <w:rFonts w:ascii="Times New Roman" w:hAnsi="Times New Roman" w:cs="Times New Roman"/>
          <w:sz w:val="24"/>
          <w:szCs w:val="24"/>
        </w:rPr>
        <w:t xml:space="preserve"> [Guidelines]. </w:t>
      </w:r>
    </w:p>
    <w:p w14:paraId="29B254A1" w14:textId="4BBFD525" w:rsidR="003E4CD6" w:rsidRPr="00240606" w:rsidRDefault="003E4CD6" w:rsidP="00582C99">
      <w:pPr>
        <w:spacing w:line="480" w:lineRule="auto"/>
        <w:ind w:left="720" w:hanging="720"/>
        <w:rPr>
          <w:rFonts w:ascii="Times New Roman" w:hAnsi="Times New Roman" w:cs="Times New Roman"/>
          <w:sz w:val="24"/>
          <w:szCs w:val="24"/>
        </w:rPr>
      </w:pPr>
      <w:r w:rsidRPr="00240606">
        <w:rPr>
          <w:rFonts w:ascii="Times New Roman" w:hAnsi="Times New Roman" w:cs="Times New Roman"/>
          <w:sz w:val="24"/>
          <w:szCs w:val="24"/>
        </w:rPr>
        <w:t xml:space="preserve">Ministry of Tourism, Government of India. (2025, December 15). </w:t>
      </w:r>
      <w:r w:rsidRPr="00240606">
        <w:rPr>
          <w:rFonts w:ascii="Times New Roman" w:hAnsi="Times New Roman" w:cs="Times New Roman"/>
          <w:i/>
          <w:iCs/>
          <w:sz w:val="24"/>
          <w:szCs w:val="24"/>
        </w:rPr>
        <w:t>Development of homestays</w:t>
      </w:r>
      <w:r w:rsidRPr="00240606">
        <w:rPr>
          <w:rFonts w:ascii="Times New Roman" w:hAnsi="Times New Roman" w:cs="Times New Roman"/>
          <w:sz w:val="24"/>
          <w:szCs w:val="24"/>
        </w:rPr>
        <w:t xml:space="preserve">. Press Information Bureau. </w:t>
      </w:r>
    </w:p>
    <w:p w14:paraId="5C0A4D81" w14:textId="77777777" w:rsidR="0089523A" w:rsidRPr="00240606" w:rsidRDefault="0089523A" w:rsidP="00582C99">
      <w:pPr>
        <w:spacing w:line="480" w:lineRule="auto"/>
        <w:rPr>
          <w:rFonts w:ascii="Times New Roman" w:hAnsi="Times New Roman" w:cs="Times New Roman"/>
        </w:rPr>
      </w:pPr>
    </w:p>
    <w:sectPr w:rsidR="0089523A" w:rsidRPr="002406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58E"/>
    <w:rsid w:val="000154C1"/>
    <w:rsid w:val="00033047"/>
    <w:rsid w:val="0004082E"/>
    <w:rsid w:val="000E1F59"/>
    <w:rsid w:val="000E6330"/>
    <w:rsid w:val="00125E4C"/>
    <w:rsid w:val="001416FF"/>
    <w:rsid w:val="00161D22"/>
    <w:rsid w:val="001772AA"/>
    <w:rsid w:val="001E3A97"/>
    <w:rsid w:val="001F1098"/>
    <w:rsid w:val="001F22EF"/>
    <w:rsid w:val="00206AE9"/>
    <w:rsid w:val="00240606"/>
    <w:rsid w:val="00256AC3"/>
    <w:rsid w:val="00265C82"/>
    <w:rsid w:val="00287B00"/>
    <w:rsid w:val="00290C14"/>
    <w:rsid w:val="002A4EE4"/>
    <w:rsid w:val="002C7B2C"/>
    <w:rsid w:val="002D767D"/>
    <w:rsid w:val="0030039F"/>
    <w:rsid w:val="00364066"/>
    <w:rsid w:val="003E4CD6"/>
    <w:rsid w:val="0041200C"/>
    <w:rsid w:val="00464AC2"/>
    <w:rsid w:val="0048503F"/>
    <w:rsid w:val="004C764D"/>
    <w:rsid w:val="004D1479"/>
    <w:rsid w:val="004D792B"/>
    <w:rsid w:val="00505BA8"/>
    <w:rsid w:val="00582C99"/>
    <w:rsid w:val="0059321C"/>
    <w:rsid w:val="005E0C6F"/>
    <w:rsid w:val="005F1D37"/>
    <w:rsid w:val="00605EB9"/>
    <w:rsid w:val="00642FF2"/>
    <w:rsid w:val="006C1E23"/>
    <w:rsid w:val="006F6C4D"/>
    <w:rsid w:val="007115F5"/>
    <w:rsid w:val="007366EB"/>
    <w:rsid w:val="00783582"/>
    <w:rsid w:val="00783843"/>
    <w:rsid w:val="00846FC5"/>
    <w:rsid w:val="00865220"/>
    <w:rsid w:val="0089523A"/>
    <w:rsid w:val="008B35FA"/>
    <w:rsid w:val="00925143"/>
    <w:rsid w:val="00951EAD"/>
    <w:rsid w:val="009635DA"/>
    <w:rsid w:val="009A66D6"/>
    <w:rsid w:val="009E59D1"/>
    <w:rsid w:val="009F0810"/>
    <w:rsid w:val="00A10F78"/>
    <w:rsid w:val="00A44B92"/>
    <w:rsid w:val="00A4615D"/>
    <w:rsid w:val="00A91E87"/>
    <w:rsid w:val="00AA7ED0"/>
    <w:rsid w:val="00AC20F0"/>
    <w:rsid w:val="00AC5829"/>
    <w:rsid w:val="00AF2638"/>
    <w:rsid w:val="00B454AA"/>
    <w:rsid w:val="00B9258E"/>
    <w:rsid w:val="00BA15A3"/>
    <w:rsid w:val="00C503B3"/>
    <w:rsid w:val="00C50587"/>
    <w:rsid w:val="00CF7AA2"/>
    <w:rsid w:val="00D176FE"/>
    <w:rsid w:val="00D9578C"/>
    <w:rsid w:val="00DA2358"/>
    <w:rsid w:val="00DD209A"/>
    <w:rsid w:val="00DD3E5C"/>
    <w:rsid w:val="00DE0B2E"/>
    <w:rsid w:val="00DF3CF7"/>
    <w:rsid w:val="00E17967"/>
    <w:rsid w:val="00E66519"/>
    <w:rsid w:val="00E85348"/>
    <w:rsid w:val="00E90547"/>
    <w:rsid w:val="00EC3621"/>
    <w:rsid w:val="00EE61C5"/>
    <w:rsid w:val="00EF724B"/>
    <w:rsid w:val="00F1055C"/>
    <w:rsid w:val="00F3495C"/>
    <w:rsid w:val="00F538EF"/>
    <w:rsid w:val="00F71F13"/>
    <w:rsid w:val="00F73FD4"/>
    <w:rsid w:val="00F929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C0833"/>
  <w15:chartTrackingRefBased/>
  <w15:docId w15:val="{D348C978-E645-4940-B3F5-6434D367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5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25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25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25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25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2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link w:val="bodyChar"/>
    <w:qFormat/>
    <w:rsid w:val="00206AE9"/>
    <w:pPr>
      <w:spacing w:after="0" w:line="360" w:lineRule="auto"/>
      <w:jc w:val="both"/>
    </w:pPr>
    <w:rPr>
      <w:rFonts w:ascii="Times New Roman" w:hAnsi="Times New Roman"/>
      <w:sz w:val="24"/>
    </w:rPr>
  </w:style>
  <w:style w:type="character" w:customStyle="1" w:styleId="bodyChar">
    <w:name w:val="body Char"/>
    <w:basedOn w:val="DefaultParagraphFont"/>
    <w:link w:val="body"/>
    <w:rsid w:val="00206AE9"/>
    <w:rPr>
      <w:rFonts w:ascii="Times New Roman" w:hAnsi="Times New Roman"/>
      <w:sz w:val="24"/>
    </w:rPr>
  </w:style>
  <w:style w:type="character" w:customStyle="1" w:styleId="Heading1Char">
    <w:name w:val="Heading 1 Char"/>
    <w:basedOn w:val="DefaultParagraphFont"/>
    <w:link w:val="Heading1"/>
    <w:uiPriority w:val="9"/>
    <w:rsid w:val="00B925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25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25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25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25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2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58E"/>
    <w:rPr>
      <w:rFonts w:eastAsiaTheme="majorEastAsia" w:cstheme="majorBidi"/>
      <w:color w:val="272727" w:themeColor="text1" w:themeTint="D8"/>
    </w:rPr>
  </w:style>
  <w:style w:type="paragraph" w:styleId="Title">
    <w:name w:val="Title"/>
    <w:basedOn w:val="Normal"/>
    <w:next w:val="Normal"/>
    <w:link w:val="TitleChar"/>
    <w:uiPriority w:val="10"/>
    <w:qFormat/>
    <w:rsid w:val="00B92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58E"/>
    <w:pPr>
      <w:spacing w:before="160"/>
      <w:jc w:val="center"/>
    </w:pPr>
    <w:rPr>
      <w:i/>
      <w:iCs/>
      <w:color w:val="404040" w:themeColor="text1" w:themeTint="BF"/>
    </w:rPr>
  </w:style>
  <w:style w:type="character" w:customStyle="1" w:styleId="QuoteChar">
    <w:name w:val="Quote Char"/>
    <w:basedOn w:val="DefaultParagraphFont"/>
    <w:link w:val="Quote"/>
    <w:uiPriority w:val="29"/>
    <w:rsid w:val="00B9258E"/>
    <w:rPr>
      <w:i/>
      <w:iCs/>
      <w:color w:val="404040" w:themeColor="text1" w:themeTint="BF"/>
    </w:rPr>
  </w:style>
  <w:style w:type="paragraph" w:styleId="ListParagraph">
    <w:name w:val="List Paragraph"/>
    <w:basedOn w:val="Normal"/>
    <w:uiPriority w:val="34"/>
    <w:qFormat/>
    <w:rsid w:val="00B9258E"/>
    <w:pPr>
      <w:ind w:left="720"/>
      <w:contextualSpacing/>
    </w:pPr>
  </w:style>
  <w:style w:type="character" w:styleId="IntenseEmphasis">
    <w:name w:val="Intense Emphasis"/>
    <w:basedOn w:val="DefaultParagraphFont"/>
    <w:uiPriority w:val="21"/>
    <w:qFormat/>
    <w:rsid w:val="00B9258E"/>
    <w:rPr>
      <w:i/>
      <w:iCs/>
      <w:color w:val="2F5496" w:themeColor="accent1" w:themeShade="BF"/>
    </w:rPr>
  </w:style>
  <w:style w:type="paragraph" w:styleId="IntenseQuote">
    <w:name w:val="Intense Quote"/>
    <w:basedOn w:val="Normal"/>
    <w:next w:val="Normal"/>
    <w:link w:val="IntenseQuoteChar"/>
    <w:uiPriority w:val="30"/>
    <w:qFormat/>
    <w:rsid w:val="00B925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258E"/>
    <w:rPr>
      <w:i/>
      <w:iCs/>
      <w:color w:val="2F5496" w:themeColor="accent1" w:themeShade="BF"/>
    </w:rPr>
  </w:style>
  <w:style w:type="character" w:styleId="IntenseReference">
    <w:name w:val="Intense Reference"/>
    <w:basedOn w:val="DefaultParagraphFont"/>
    <w:uiPriority w:val="32"/>
    <w:qFormat/>
    <w:rsid w:val="00B9258E"/>
    <w:rPr>
      <w:b/>
      <w:bCs/>
      <w:smallCaps/>
      <w:color w:val="2F5496" w:themeColor="accent1" w:themeShade="BF"/>
      <w:spacing w:val="5"/>
    </w:rPr>
  </w:style>
  <w:style w:type="character" w:styleId="Hyperlink">
    <w:name w:val="Hyperlink"/>
    <w:basedOn w:val="DefaultParagraphFont"/>
    <w:uiPriority w:val="99"/>
    <w:unhideWhenUsed/>
    <w:rsid w:val="00B9258E"/>
    <w:rPr>
      <w:color w:val="0563C1" w:themeColor="hyperlink"/>
      <w:u w:val="single"/>
    </w:rPr>
  </w:style>
  <w:style w:type="character" w:styleId="UnresolvedMention">
    <w:name w:val="Unresolved Mention"/>
    <w:basedOn w:val="DefaultParagraphFont"/>
    <w:uiPriority w:val="99"/>
    <w:semiHidden/>
    <w:unhideWhenUsed/>
    <w:rsid w:val="00B9258E"/>
    <w:rPr>
      <w:color w:val="605E5C"/>
      <w:shd w:val="clear" w:color="auto" w:fill="E1DFDD"/>
    </w:rPr>
  </w:style>
  <w:style w:type="paragraph" w:styleId="Caption">
    <w:name w:val="caption"/>
    <w:basedOn w:val="Normal"/>
    <w:next w:val="Normal"/>
    <w:uiPriority w:val="35"/>
    <w:unhideWhenUsed/>
    <w:qFormat/>
    <w:rsid w:val="00C50587"/>
    <w:pPr>
      <w:spacing w:after="200" w:line="240" w:lineRule="auto"/>
    </w:pPr>
    <w:rPr>
      <w:i/>
      <w:iCs/>
      <w:color w:val="44546A" w:themeColor="text2"/>
      <w:sz w:val="18"/>
      <w:szCs w:val="18"/>
    </w:rPr>
  </w:style>
  <w:style w:type="table" w:styleId="TableGrid">
    <w:name w:val="Table Grid"/>
    <w:basedOn w:val="TableNormal"/>
    <w:uiPriority w:val="39"/>
    <w:rsid w:val="00F349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F109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9707/2328-0824.1233"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oi.org/10.15027/45586"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2.xml"/><Relationship Id="rId11" Type="http://schemas.openxmlformats.org/officeDocument/2006/relationships/hyperlink" Target="https://doi.org/10.4018/979-8-3693-6260-0.ch006" TargetMode="External"/><Relationship Id="rId5" Type="http://schemas.openxmlformats.org/officeDocument/2006/relationships/chart" Target="charts/chart1.xml"/><Relationship Id="rId10" Type="http://schemas.openxmlformats.org/officeDocument/2006/relationships/hyperlink" Target="https://doi.org/10.1051/bioconf/202515103001" TargetMode="External"/><Relationship Id="rId4" Type="http://schemas.openxmlformats.org/officeDocument/2006/relationships/image" Target="media/image1.jpeg"/><Relationship Id="rId9" Type="http://schemas.openxmlformats.org/officeDocument/2006/relationships/hyperlink" Target="https://doi.org/10.1007/s43621-025-00988-2"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1" i="0" u="none" strike="noStrike" baseline="0"/>
              <a:t>Comparative Qualitative Assessment of Homestay Sustainability: Satkhol and Sunkiya</a:t>
            </a:r>
            <a:endParaRPr lang="en-IN"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radarChart>
        <c:radarStyle val="marker"/>
        <c:varyColors val="0"/>
        <c:ser>
          <c:idx val="0"/>
          <c:order val="0"/>
          <c:tx>
            <c:strRef>
              <c:f>Sheet1!$B$1</c:f>
              <c:strCache>
                <c:ptCount val="1"/>
                <c:pt idx="0">
                  <c:v>Satkhol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Sheet1!$A$2:$A$7</c:f>
              <c:strCache>
                <c:ptCount val="6"/>
                <c:pt idx="0">
                  <c:v>Livelihood Diversification</c:v>
                </c:pt>
                <c:pt idx="1">
                  <c:v>Women’s Participation</c:v>
                </c:pt>
                <c:pt idx="2">
                  <c:v>Local Economic Linkages</c:v>
                </c:pt>
                <c:pt idx="3">
                  <c:v>Institutional &amp; Community Support</c:v>
                </c:pt>
                <c:pt idx="4">
                  <c:v>Cultural Integration</c:v>
                </c:pt>
                <c:pt idx="5">
                  <c:v>Environmental Resilience</c:v>
                </c:pt>
              </c:strCache>
            </c:strRef>
          </c:cat>
          <c:val>
            <c:numRef>
              <c:f>Sheet1!$B$2:$B$7</c:f>
              <c:numCache>
                <c:formatCode>General</c:formatCode>
                <c:ptCount val="6"/>
                <c:pt idx="0">
                  <c:v>5</c:v>
                </c:pt>
                <c:pt idx="1">
                  <c:v>4</c:v>
                </c:pt>
                <c:pt idx="2">
                  <c:v>4</c:v>
                </c:pt>
                <c:pt idx="3">
                  <c:v>5</c:v>
                </c:pt>
                <c:pt idx="4">
                  <c:v>5</c:v>
                </c:pt>
                <c:pt idx="5">
                  <c:v>2</c:v>
                </c:pt>
              </c:numCache>
            </c:numRef>
          </c:val>
          <c:extLst>
            <c:ext xmlns:c16="http://schemas.microsoft.com/office/drawing/2014/chart" uri="{C3380CC4-5D6E-409C-BE32-E72D297353CC}">
              <c16:uniqueId val="{00000000-2289-40F4-B9AA-066056DE7AA7}"/>
            </c:ext>
          </c:extLst>
        </c:ser>
        <c:ser>
          <c:idx val="1"/>
          <c:order val="1"/>
          <c:tx>
            <c:strRef>
              <c:f>Sheet1!$C$1</c:f>
              <c:strCache>
                <c:ptCount val="1"/>
                <c:pt idx="0">
                  <c:v>Sunkiya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Sheet1!$A$2:$A$7</c:f>
              <c:strCache>
                <c:ptCount val="6"/>
                <c:pt idx="0">
                  <c:v>Livelihood Diversification</c:v>
                </c:pt>
                <c:pt idx="1">
                  <c:v>Women’s Participation</c:v>
                </c:pt>
                <c:pt idx="2">
                  <c:v>Local Economic Linkages</c:v>
                </c:pt>
                <c:pt idx="3">
                  <c:v>Institutional &amp; Community Support</c:v>
                </c:pt>
                <c:pt idx="4">
                  <c:v>Cultural Integration</c:v>
                </c:pt>
                <c:pt idx="5">
                  <c:v>Environmental Resilience</c:v>
                </c:pt>
              </c:strCache>
            </c:strRef>
          </c:cat>
          <c:val>
            <c:numRef>
              <c:f>Sheet1!$C$2:$C$7</c:f>
              <c:numCache>
                <c:formatCode>General</c:formatCode>
                <c:ptCount val="6"/>
                <c:pt idx="0">
                  <c:v>5</c:v>
                </c:pt>
                <c:pt idx="1">
                  <c:v>5</c:v>
                </c:pt>
                <c:pt idx="2">
                  <c:v>5</c:v>
                </c:pt>
                <c:pt idx="3">
                  <c:v>4</c:v>
                </c:pt>
                <c:pt idx="4">
                  <c:v>4</c:v>
                </c:pt>
                <c:pt idx="5">
                  <c:v>3</c:v>
                </c:pt>
              </c:numCache>
            </c:numRef>
          </c:val>
          <c:extLst>
            <c:ext xmlns:c16="http://schemas.microsoft.com/office/drawing/2014/chart" uri="{C3380CC4-5D6E-409C-BE32-E72D297353CC}">
              <c16:uniqueId val="{00000001-2289-40F4-B9AA-066056DE7AA7}"/>
            </c:ext>
          </c:extLst>
        </c:ser>
        <c:dLbls>
          <c:showLegendKey val="0"/>
          <c:showVal val="0"/>
          <c:showCatName val="0"/>
          <c:showSerName val="0"/>
          <c:showPercent val="0"/>
          <c:showBubbleSize val="0"/>
        </c:dLbls>
        <c:axId val="554536768"/>
        <c:axId val="328412400"/>
      </c:radarChart>
      <c:catAx>
        <c:axId val="55453676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8412400"/>
        <c:crosses val="autoZero"/>
        <c:auto val="1"/>
        <c:lblAlgn val="ctr"/>
        <c:lblOffset val="100"/>
        <c:noMultiLvlLbl val="0"/>
      </c:catAx>
      <c:valAx>
        <c:axId val="3284124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453676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1" i="0" u="none" strike="noStrike" baseline="0"/>
              <a:t>Sustainability Opportunities and Pressures Associated with Satkhol and Sunkiya</a:t>
            </a:r>
            <a:endParaRPr lang="en-IN"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bar"/>
        <c:grouping val="clustered"/>
        <c:varyColors val="0"/>
        <c:ser>
          <c:idx val="0"/>
          <c:order val="0"/>
          <c:tx>
            <c:strRef>
              <c:f>Sheet1!$B$15</c:f>
              <c:strCache>
                <c:ptCount val="1"/>
                <c:pt idx="0">
                  <c:v>Satkhol</c:v>
                </c:pt>
              </c:strCache>
            </c:strRef>
          </c:tx>
          <c:spPr>
            <a:solidFill>
              <a:schemeClr val="accent1"/>
            </a:solidFill>
            <a:ln>
              <a:noFill/>
            </a:ln>
            <a:effectLst/>
          </c:spPr>
          <c:invertIfNegative val="0"/>
          <c:cat>
            <c:strRef>
              <c:f>Sheet1!$A$16:$A$22</c:f>
              <c:strCache>
                <c:ptCount val="7"/>
                <c:pt idx="0">
                  <c:v>Livelihood opportunities</c:v>
                </c:pt>
                <c:pt idx="1">
                  <c:v>Women’s participation</c:v>
                </c:pt>
                <c:pt idx="2">
                  <c:v>Local economic linkages</c:v>
                </c:pt>
                <c:pt idx="3">
                  <c:v>Cultural integration</c:v>
                </c:pt>
                <c:pt idx="4">
                  <c:v>Water pressure</c:v>
                </c:pt>
                <c:pt idx="5">
                  <c:v>Waste pressure</c:v>
                </c:pt>
                <c:pt idx="6">
                  <c:v>Infrastructure pressure</c:v>
                </c:pt>
              </c:strCache>
            </c:strRef>
          </c:cat>
          <c:val>
            <c:numRef>
              <c:f>Sheet1!$B$16:$B$22</c:f>
              <c:numCache>
                <c:formatCode>General</c:formatCode>
                <c:ptCount val="7"/>
                <c:pt idx="0">
                  <c:v>5</c:v>
                </c:pt>
                <c:pt idx="1">
                  <c:v>4</c:v>
                </c:pt>
                <c:pt idx="2">
                  <c:v>4</c:v>
                </c:pt>
                <c:pt idx="3">
                  <c:v>5</c:v>
                </c:pt>
                <c:pt idx="4">
                  <c:v>5</c:v>
                </c:pt>
                <c:pt idx="5">
                  <c:v>4</c:v>
                </c:pt>
                <c:pt idx="6">
                  <c:v>4</c:v>
                </c:pt>
              </c:numCache>
            </c:numRef>
          </c:val>
          <c:extLst>
            <c:ext xmlns:c16="http://schemas.microsoft.com/office/drawing/2014/chart" uri="{C3380CC4-5D6E-409C-BE32-E72D297353CC}">
              <c16:uniqueId val="{00000000-68B5-4283-A26C-2BE7D3C09452}"/>
            </c:ext>
          </c:extLst>
        </c:ser>
        <c:ser>
          <c:idx val="1"/>
          <c:order val="1"/>
          <c:tx>
            <c:strRef>
              <c:f>Sheet1!$C$15</c:f>
              <c:strCache>
                <c:ptCount val="1"/>
                <c:pt idx="0">
                  <c:v>Sunkiya</c:v>
                </c:pt>
              </c:strCache>
            </c:strRef>
          </c:tx>
          <c:spPr>
            <a:solidFill>
              <a:schemeClr val="accent2"/>
            </a:solidFill>
            <a:ln>
              <a:noFill/>
            </a:ln>
            <a:effectLst/>
          </c:spPr>
          <c:invertIfNegative val="0"/>
          <c:cat>
            <c:strRef>
              <c:f>Sheet1!$A$16:$A$22</c:f>
              <c:strCache>
                <c:ptCount val="7"/>
                <c:pt idx="0">
                  <c:v>Livelihood opportunities</c:v>
                </c:pt>
                <c:pt idx="1">
                  <c:v>Women’s participation</c:v>
                </c:pt>
                <c:pt idx="2">
                  <c:v>Local economic linkages</c:v>
                </c:pt>
                <c:pt idx="3">
                  <c:v>Cultural integration</c:v>
                </c:pt>
                <c:pt idx="4">
                  <c:v>Water pressure</c:v>
                </c:pt>
                <c:pt idx="5">
                  <c:v>Waste pressure</c:v>
                </c:pt>
                <c:pt idx="6">
                  <c:v>Infrastructure pressure</c:v>
                </c:pt>
              </c:strCache>
            </c:strRef>
          </c:cat>
          <c:val>
            <c:numRef>
              <c:f>Sheet1!$C$16:$C$22</c:f>
              <c:numCache>
                <c:formatCode>General</c:formatCode>
                <c:ptCount val="7"/>
                <c:pt idx="0">
                  <c:v>5</c:v>
                </c:pt>
                <c:pt idx="1">
                  <c:v>5</c:v>
                </c:pt>
                <c:pt idx="2">
                  <c:v>5</c:v>
                </c:pt>
                <c:pt idx="3">
                  <c:v>4</c:v>
                </c:pt>
                <c:pt idx="4">
                  <c:v>4</c:v>
                </c:pt>
                <c:pt idx="5">
                  <c:v>3</c:v>
                </c:pt>
                <c:pt idx="6">
                  <c:v>3</c:v>
                </c:pt>
              </c:numCache>
            </c:numRef>
          </c:val>
          <c:extLst>
            <c:ext xmlns:c16="http://schemas.microsoft.com/office/drawing/2014/chart" uri="{C3380CC4-5D6E-409C-BE32-E72D297353CC}">
              <c16:uniqueId val="{00000001-68B5-4283-A26C-2BE7D3C09452}"/>
            </c:ext>
          </c:extLst>
        </c:ser>
        <c:dLbls>
          <c:showLegendKey val="0"/>
          <c:showVal val="0"/>
          <c:showCatName val="0"/>
          <c:showSerName val="0"/>
          <c:showPercent val="0"/>
          <c:showBubbleSize val="0"/>
        </c:dLbls>
        <c:gapWidth val="182"/>
        <c:axId val="435157136"/>
        <c:axId val="328401360"/>
      </c:barChart>
      <c:catAx>
        <c:axId val="43515713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8401360"/>
        <c:crosses val="autoZero"/>
        <c:auto val="1"/>
        <c:lblAlgn val="ctr"/>
        <c:lblOffset val="100"/>
        <c:noMultiLvlLbl val="0"/>
      </c:catAx>
      <c:valAx>
        <c:axId val="32840136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51571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25</Pages>
  <Words>5948</Words>
  <Characters>33905</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Krisha Mitra</dc:creator>
  <cp:keywords/>
  <dc:description/>
  <cp:lastModifiedBy>Krisha Mitra</cp:lastModifiedBy>
  <cp:revision>5</cp:revision>
  <dcterms:created xsi:type="dcterms:W3CDTF">2026-08-20T14:11:00Z</dcterms:created>
  <dcterms:modified xsi:type="dcterms:W3CDTF">2026-08-20T16:20:00Z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8d65269b-4108-4a3e-999e-51906b6a03fa</vt:lpwstr>
  </property>
</Properties>
</file>