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648"/>
            <w:shd w:val="clear" w:color="auto" w:fill="990000"/>
            <w:tcMar>
              <w:top w:w="140" w:type="dxa"/>
              <w:bottom w:w="140" w:type="dxa"/>
              <w:left w:w="180" w:type="dxa"/>
              <w:right w:w="180" w:type="dxa"/>
            </w:tcMar>
          </w:tcPr>
          <w:p>
            <w:pPr>
              <w:jc w:val="center"/>
            </w:pPr>
            <w:r>
              <w:rPr>
                <w:rFonts w:ascii="Times New Roman" w:hAnsi="Times New Roman"/>
                <w:b/>
                <w:color w:val="FFDCDC"/>
                <w:sz w:val="24"/>
              </w:rPr>
              <w:t>RESEARCH &amp; DEVELOPMENT MILESTONE REPORT</w:t>
              <w:br/>
            </w:r>
            <w:r>
              <w:rPr>
                <w:rFonts w:ascii="Times New Roman" w:hAnsi="Times New Roman"/>
                <w:b/>
                <w:color w:val="FFFFFF"/>
                <w:sz w:val="32"/>
              </w:rPr>
              <w:t>UniResolve: Multimodal (Text + Audio) Local AI Triage System</w:t>
              <w:br/>
            </w:r>
            <w:r>
              <w:rPr>
                <w:rFonts w:ascii="Times New Roman" w:hAnsi="Times New Roman"/>
                <w:color w:val="FFF0F0"/>
                <w:sz w:val="22"/>
              </w:rPr>
              <w:t>Project Novelty, Technical Methodology, and First-Level Empirical Benchmark Results</w:t>
            </w:r>
          </w:p>
        </w:tc>
      </w:tr>
    </w:tbl>
    <w:p>
      <w:pPr>
        <w:spacing w:after="40"/>
      </w:pPr>
    </w:p>
    <w:p>
      <w:pPr>
        <w:spacing w:before="0" w:after="160" w:line="276" w:lineRule="auto"/>
      </w:pPr>
      <w:r>
        <w:rPr>
          <w:b/>
          <w:color w:val="990000"/>
        </w:rPr>
        <w:t xml:space="preserve">System Architecture: </w:t>
      </w:r>
      <w:r>
        <w:t xml:space="preserve">Local Pretrained Encoders + Gated Cross-Attention Fusion | </w:t>
      </w:r>
      <w:r>
        <w:rPr>
          <w:b/>
          <w:color w:val="990000"/>
        </w:rPr>
        <w:t xml:space="preserve">Execution Environment: </w:t>
      </w:r>
      <w:r>
        <w:t>CPU / On-Premise</w:t>
      </w:r>
    </w:p>
    <w:p>
      <w:pPr>
        <w:keepNext/>
        <w:spacing w:before="280" w:after="80"/>
        <w:pBdr>
          <w:bottom w:val="single" w:sz="6" w:space="3" w:color="990000"/>
        </w:pBdr>
      </w:pPr>
      <w:r>
        <w:rPr>
          <w:rFonts w:ascii="Times New Roman" w:hAnsi="Times New Roman"/>
          <w:b/>
          <w:color w:val="990000"/>
          <w:sz w:val="32"/>
        </w:rPr>
        <w:t>1. Project Novelty</w:t>
      </w:r>
    </w:p>
    <w:p>
      <w:pPr>
        <w:spacing w:before="0" w:after="120" w:line="276" w:lineRule="auto"/>
      </w:pPr>
      <w:r>
        <w:t>Commercial grievance redressal systems in financial institutions traditionally rely on two polarized approaches: rigid keyword lookup rules that fail on natural language variations, or external cloud Large Language Model (LLM) APIs that introduce high operational latency, ongoing API costs, and serious customer privacy risks under data protection laws. Furthermore, existing voice channels (IVR phone calls and mobile voice notes) discard speech acoustics after transcription, ignoring vital prosodic distress signals like pitch modulation, speaking rate, and vocal intensity.</w:t>
      </w:r>
    </w:p>
    <w:p>
      <w:pPr>
        <w:spacing w:before="0" w:after="120" w:line="276" w:lineRule="auto"/>
      </w:pPr>
      <w:r>
        <w:t>UniResolve introduces four major technological innovations:</w:t>
      </w:r>
    </w:p>
    <w:tbl>
      <w:tblPr>
        <w:tblW w:type="auto" w:w="0"/>
        <w:jc w:val="center"/>
        <w:tblLook w:firstColumn="1" w:firstRow="1" w:lastColumn="0" w:lastRow="0" w:noHBand="0" w:noVBand="1" w:val="04A0"/>
      </w:tblPr>
      <w:tblGrid>
        <w:gridCol w:w="9792"/>
      </w:tblGrid>
      <w:tr>
        <w:tc>
          <w:tcPr>
            <w:tcW w:type="dxa" w:w="9504"/>
            <w:shd w:val="clear" w:color="auto" w:fill="FFF5F5"/>
            <w:tcMar>
              <w:top w:w="120" w:type="dxa"/>
              <w:bottom w:w="120" w:type="dxa"/>
              <w:left w:w="160" w:type="dxa"/>
              <w:right w:w="160" w:type="dxa"/>
            </w:tcMar>
            <w:tcBorders>
              <w:top w:val="none"/>
              <w:left w:val="single" w:sz="20" w:space="0" w:color="990000"/>
              <w:bottom w:val="none"/>
              <w:right w:val="none"/>
            </w:tcBorders>
          </w:tcPr>
          <w:p>
            <w:pPr>
              <w:spacing w:before="0" w:after="40"/>
            </w:pPr>
            <w:r>
              <w:rPr>
                <w:rFonts w:ascii="Times New Roman" w:hAnsi="Times New Roman"/>
                <w:b/>
                <w:color w:val="990000"/>
                <w:sz w:val="24"/>
              </w:rPr>
              <w:t>CORE TECHNICAL INNOVATIONS</w:t>
              <w:br/>
            </w:r>
            <w:r>
              <w:rPr>
                <w:rFonts w:ascii="Times New Roman" w:hAnsi="Times New Roman"/>
                <w:color w:val="111111"/>
                <w:sz w:val="23"/>
              </w:rPr>
              <w:t>1. True Multimodal Dual-Stream Fusion: Integrates dense semantic text representations (FinBERT) with frozen acoustic foundation representations (WavLM) and 5-dimensional librosa prosody metrics (F0 pitch mean/variance, RMS energy, zero-crossing speech rate, spectral centroid).</w:t>
              <w:br/>
              <w:t>2. On-Premise Privacy by Design: 100% of speech-to-text transcription (Whisper ASR), PII scrubbing (spaCy / Presidio), and neural multi-task triage run locally on CPU without customer data exiting institutional boundaries.</w:t>
              <w:br/>
              <w:t>3. Cross-Attention Gating with Modality Dropout: The fusion network dynamically learns attention weights across text and audio streams. When audio is missing (text-only submissions), the gate automatically suppresses the acoustic stream without accuracy degradation.</w:t>
              <w:br/>
              <w:t>4. Dual-Mode Operational Fallback (TRIAGE_MODE=local|api): Enables seamless toggling between ultra-fast local neural classification (0.04 ms latency) and cloud generative multi-agent workflows.</w:t>
            </w:r>
          </w:p>
        </w:tc>
      </w:tr>
    </w:tbl>
    <w:p>
      <w:pPr>
        <w:spacing w:after="80"/>
      </w:pPr>
    </w:p>
    <w:p>
      <w:pPr>
        <w:keepNext/>
        <w:spacing w:before="280" w:after="80"/>
        <w:pBdr>
          <w:bottom w:val="single" w:sz="6" w:space="3" w:color="990000"/>
        </w:pBdr>
      </w:pPr>
      <w:r>
        <w:rPr>
          <w:rFonts w:ascii="Times New Roman" w:hAnsi="Times New Roman"/>
          <w:b/>
          <w:color w:val="990000"/>
          <w:sz w:val="32"/>
        </w:rPr>
        <w:t>2. Methodology</w:t>
      </w:r>
    </w:p>
    <w:p>
      <w:pPr>
        <w:keepNext/>
        <w:spacing w:before="200" w:after="60"/>
      </w:pPr>
      <w:r>
        <w:rPr>
          <w:rFonts w:ascii="Times New Roman" w:hAnsi="Times New Roman"/>
          <w:b/>
          <w:color w:val="B30000"/>
          <w:sz w:val="28"/>
        </w:rPr>
        <w:t>2.1 Data Curation, Harmonization, and Noise Augmentation</w:t>
      </w:r>
    </w:p>
    <w:p>
      <w:pPr>
        <w:spacing w:before="0" w:after="120" w:line="276" w:lineRule="auto"/>
      </w:pPr>
      <w:r>
        <w:t>To establish rigorous evaluation standards without exposing live banking data, a balanced corpus of 1,500 samples was curated across 6 unified banking categories. Real narratives from the Consumer Financial Protection Bureau (CFPB) were mapped to Loans, Accounts, Credit Cards, and Transaction Errors using an explicit product taxonomy. These were complemented with domain-authentic Indian banking complaints for UPI/Payments and KYC/Verification.</w:t>
      </w:r>
    </w:p>
    <w:tbl>
      <w:tblPr>
        <w:tblW w:type="auto" w:w="0"/>
        <w:jc w:val="center"/>
        <w:tblLook w:firstColumn="1" w:firstRow="1" w:lastColumn="0" w:lastRow="0" w:noHBand="0" w:noVBand="1" w:val="04A0"/>
        <w:tblBorders>
          <w:top w:val="single" w:sz="6" w:space="0" w:color="D98282"/>
          <w:left w:val="none"/>
          <w:bottom w:val="single" w:sz="8" w:space="0" w:color="D98282"/>
          <w:right w:val="none"/>
          <w:insideH w:val="single" w:sz="4" w:space="0" w:color="D98282"/>
          <w:insideV w:val="none"/>
        </w:tblBorders>
      </w:tblPr>
      <w:tblGrid>
        <w:gridCol w:w="2448"/>
        <w:gridCol w:w="2448"/>
        <w:gridCol w:w="2448"/>
        <w:gridCol w:w="2448"/>
      </w:tblGrid>
      <w:tr>
        <w:tc>
          <w:tcPr>
            <w:tcW w:type="dxa" w:w="2448"/>
            <w:shd w:val="clear" w:color="auto" w:fill="990000"/>
            <w:tcMar>
              <w:top w:w="80" w:type="dxa"/>
              <w:bottom w:w="80" w:type="dxa"/>
              <w:left w:w="100" w:type="dxa"/>
              <w:right w:w="100" w:type="dxa"/>
            </w:tcMar>
          </w:tcPr>
          <w:p>
            <w:r>
              <w:rPr>
                <w:rFonts w:ascii="Times New Roman" w:hAnsi="Times New Roman"/>
                <w:b/>
                <w:color w:val="FFFFFF"/>
                <w:sz w:val="22"/>
              </w:rPr>
              <w:t>Partition Split</w:t>
            </w:r>
          </w:p>
        </w:tc>
        <w:tc>
          <w:tcPr>
            <w:tcW w:type="dxa" w:w="2448"/>
            <w:shd w:val="clear" w:color="auto" w:fill="990000"/>
            <w:tcMar>
              <w:top w:w="80" w:type="dxa"/>
              <w:bottom w:w="80" w:type="dxa"/>
              <w:left w:w="100" w:type="dxa"/>
              <w:right w:w="100" w:type="dxa"/>
            </w:tcMar>
          </w:tcPr>
          <w:p>
            <w:r>
              <w:rPr>
                <w:rFonts w:ascii="Times New Roman" w:hAnsi="Times New Roman"/>
                <w:b/>
                <w:color w:val="FFFFFF"/>
                <w:sz w:val="22"/>
              </w:rPr>
              <w:t>Sample Volume</w:t>
            </w:r>
          </w:p>
        </w:tc>
        <w:tc>
          <w:tcPr>
            <w:tcW w:type="dxa" w:w="2448"/>
            <w:shd w:val="clear" w:color="auto" w:fill="990000"/>
            <w:tcMar>
              <w:top w:w="80" w:type="dxa"/>
              <w:bottom w:w="80" w:type="dxa"/>
              <w:left w:w="100" w:type="dxa"/>
              <w:right w:w="100" w:type="dxa"/>
            </w:tcMar>
          </w:tcPr>
          <w:p>
            <w:r>
              <w:rPr>
                <w:rFonts w:ascii="Times New Roman" w:hAnsi="Times New Roman"/>
                <w:b/>
                <w:color w:val="FFFFFF"/>
                <w:sz w:val="22"/>
              </w:rPr>
              <w:t>Percentage Share</w:t>
            </w:r>
          </w:p>
        </w:tc>
        <w:tc>
          <w:tcPr>
            <w:tcW w:type="dxa" w:w="2448"/>
            <w:shd w:val="clear" w:color="auto" w:fill="990000"/>
            <w:tcMar>
              <w:top w:w="80" w:type="dxa"/>
              <w:bottom w:w="80" w:type="dxa"/>
              <w:left w:w="100" w:type="dxa"/>
              <w:right w:w="100" w:type="dxa"/>
            </w:tcMar>
          </w:tcPr>
          <w:p>
            <w:r>
              <w:rPr>
                <w:rFonts w:ascii="Times New Roman" w:hAnsi="Times New Roman"/>
                <w:b/>
                <w:color w:val="FFFFFF"/>
                <w:sz w:val="22"/>
              </w:rPr>
              <w:t>Severity Annotation Source</w:t>
            </w:r>
          </w:p>
        </w:tc>
      </w:tr>
      <w:tr>
        <w:tc>
          <w:tcPr>
            <w:tcW w:type="dxa" w:w="2448"/>
            <w:shd w:val="clear" w:color="auto" w:fill="FFF5F5"/>
            <w:tcMar>
              <w:top w:w="60" w:type="dxa"/>
              <w:bottom w:w="60" w:type="dxa"/>
              <w:left w:w="100" w:type="dxa"/>
              <w:right w:w="100" w:type="dxa"/>
            </w:tcMar>
          </w:tcPr>
          <w:p>
            <w:r>
              <w:rPr>
                <w:rFonts w:ascii="Times New Roman" w:hAnsi="Times New Roman"/>
                <w:color w:val="111111"/>
                <w:sz w:val="22"/>
              </w:rPr>
              <w:t>Training Set</w:t>
            </w:r>
          </w:p>
        </w:tc>
        <w:tc>
          <w:tcPr>
            <w:tcW w:type="dxa" w:w="2448"/>
            <w:shd w:val="clear" w:color="auto" w:fill="FFF5F5"/>
            <w:tcMar>
              <w:top w:w="60" w:type="dxa"/>
              <w:bottom w:w="60" w:type="dxa"/>
              <w:left w:w="100" w:type="dxa"/>
              <w:right w:w="100" w:type="dxa"/>
            </w:tcMar>
          </w:tcPr>
          <w:p>
            <w:r>
              <w:rPr>
                <w:rFonts w:ascii="Times New Roman" w:hAnsi="Times New Roman"/>
                <w:color w:val="111111"/>
                <w:sz w:val="22"/>
              </w:rPr>
              <w:t>1,050 records</w:t>
            </w:r>
          </w:p>
        </w:tc>
        <w:tc>
          <w:tcPr>
            <w:tcW w:type="dxa" w:w="2448"/>
            <w:shd w:val="clear" w:color="auto" w:fill="FFF5F5"/>
            <w:tcMar>
              <w:top w:w="60" w:type="dxa"/>
              <w:bottom w:w="60" w:type="dxa"/>
              <w:left w:w="100" w:type="dxa"/>
              <w:right w:w="100" w:type="dxa"/>
            </w:tcMar>
          </w:tcPr>
          <w:p>
            <w:r>
              <w:rPr>
                <w:rFonts w:ascii="Times New Roman" w:hAnsi="Times New Roman"/>
                <w:color w:val="111111"/>
                <w:sz w:val="22"/>
              </w:rPr>
              <w:t>70.0%</w:t>
            </w:r>
          </w:p>
        </w:tc>
        <w:tc>
          <w:tcPr>
            <w:tcW w:type="dxa" w:w="2448"/>
            <w:shd w:val="clear" w:color="auto" w:fill="FFF5F5"/>
            <w:tcMar>
              <w:top w:w="60" w:type="dxa"/>
              <w:bottom w:w="60" w:type="dxa"/>
              <w:left w:w="100" w:type="dxa"/>
              <w:right w:w="100" w:type="dxa"/>
            </w:tcMar>
          </w:tcPr>
          <w:p>
            <w:r>
              <w:rPr>
                <w:rFonts w:ascii="Times New Roman" w:hAnsi="Times New Roman"/>
                <w:color w:val="111111"/>
                <w:sz w:val="22"/>
              </w:rPr>
              <w:t>Documented Weak Supervision Rules (weak_rule)</w:t>
            </w:r>
          </w:p>
        </w:tc>
      </w:tr>
      <w:tr>
        <w:tc>
          <w:tcPr>
            <w:tcW w:type="dxa" w:w="2448"/>
            <w:shd w:val="clear" w:color="auto" w:fill="FFFFFF"/>
            <w:tcMar>
              <w:top w:w="60" w:type="dxa"/>
              <w:bottom w:w="60" w:type="dxa"/>
              <w:left w:w="100" w:type="dxa"/>
              <w:right w:w="100" w:type="dxa"/>
            </w:tcMar>
          </w:tcPr>
          <w:p>
            <w:r>
              <w:rPr>
                <w:rFonts w:ascii="Times New Roman" w:hAnsi="Times New Roman"/>
                <w:color w:val="111111"/>
                <w:sz w:val="22"/>
              </w:rPr>
              <w:t>Validation Set</w:t>
            </w:r>
          </w:p>
        </w:tc>
        <w:tc>
          <w:tcPr>
            <w:tcW w:type="dxa" w:w="2448"/>
            <w:shd w:val="clear" w:color="auto" w:fill="FFFFFF"/>
            <w:tcMar>
              <w:top w:w="60" w:type="dxa"/>
              <w:bottom w:w="60" w:type="dxa"/>
              <w:left w:w="100" w:type="dxa"/>
              <w:right w:w="100" w:type="dxa"/>
            </w:tcMar>
          </w:tcPr>
          <w:p>
            <w:r>
              <w:rPr>
                <w:rFonts w:ascii="Times New Roman" w:hAnsi="Times New Roman"/>
                <w:color w:val="111111"/>
                <w:sz w:val="22"/>
              </w:rPr>
              <w:t>222 records</w:t>
            </w:r>
          </w:p>
        </w:tc>
        <w:tc>
          <w:tcPr>
            <w:tcW w:type="dxa" w:w="2448"/>
            <w:shd w:val="clear" w:color="auto" w:fill="FFFFFF"/>
            <w:tcMar>
              <w:top w:w="60" w:type="dxa"/>
              <w:bottom w:w="60" w:type="dxa"/>
              <w:left w:w="100" w:type="dxa"/>
              <w:right w:w="100" w:type="dxa"/>
            </w:tcMar>
          </w:tcPr>
          <w:p>
            <w:r>
              <w:rPr>
                <w:rFonts w:ascii="Times New Roman" w:hAnsi="Times New Roman"/>
                <w:color w:val="111111"/>
                <w:sz w:val="22"/>
              </w:rPr>
              <w:t>14.8%</w:t>
            </w:r>
          </w:p>
        </w:tc>
        <w:tc>
          <w:tcPr>
            <w:tcW w:type="dxa" w:w="2448"/>
            <w:shd w:val="clear" w:color="auto" w:fill="FFFFFF"/>
            <w:tcMar>
              <w:top w:w="60" w:type="dxa"/>
              <w:bottom w:w="60" w:type="dxa"/>
              <w:left w:w="100" w:type="dxa"/>
              <w:right w:w="100" w:type="dxa"/>
            </w:tcMar>
          </w:tcPr>
          <w:p>
            <w:r>
              <w:rPr>
                <w:rFonts w:ascii="Times New Roman" w:hAnsi="Times New Roman"/>
                <w:color w:val="111111"/>
                <w:sz w:val="22"/>
              </w:rPr>
              <w:t>Documented Weak Supervision Rules (weak_rule)</w:t>
            </w:r>
          </w:p>
        </w:tc>
      </w:tr>
      <w:tr>
        <w:tc>
          <w:tcPr>
            <w:tcW w:type="dxa" w:w="2448"/>
            <w:shd w:val="clear" w:color="auto" w:fill="FFF5F5"/>
            <w:tcMar>
              <w:top w:w="60" w:type="dxa"/>
              <w:bottom w:w="60" w:type="dxa"/>
              <w:left w:w="100" w:type="dxa"/>
              <w:right w:w="100" w:type="dxa"/>
            </w:tcMar>
          </w:tcPr>
          <w:p>
            <w:r>
              <w:rPr>
                <w:rFonts w:ascii="Times New Roman" w:hAnsi="Times New Roman"/>
                <w:color w:val="111111"/>
                <w:sz w:val="22"/>
              </w:rPr>
              <w:t>Test Set (Gold)</w:t>
            </w:r>
          </w:p>
        </w:tc>
        <w:tc>
          <w:tcPr>
            <w:tcW w:type="dxa" w:w="2448"/>
            <w:shd w:val="clear" w:color="auto" w:fill="FFF5F5"/>
            <w:tcMar>
              <w:top w:w="60" w:type="dxa"/>
              <w:bottom w:w="60" w:type="dxa"/>
              <w:left w:w="100" w:type="dxa"/>
              <w:right w:w="100" w:type="dxa"/>
            </w:tcMar>
          </w:tcPr>
          <w:p>
            <w:r>
              <w:rPr>
                <w:rFonts w:ascii="Times New Roman" w:hAnsi="Times New Roman"/>
                <w:color w:val="111111"/>
                <w:sz w:val="22"/>
              </w:rPr>
              <w:t>228 records</w:t>
            </w:r>
          </w:p>
        </w:tc>
        <w:tc>
          <w:tcPr>
            <w:tcW w:type="dxa" w:w="2448"/>
            <w:shd w:val="clear" w:color="auto" w:fill="FFF5F5"/>
            <w:tcMar>
              <w:top w:w="60" w:type="dxa"/>
              <w:bottom w:w="60" w:type="dxa"/>
              <w:left w:w="100" w:type="dxa"/>
              <w:right w:w="100" w:type="dxa"/>
            </w:tcMar>
          </w:tcPr>
          <w:p>
            <w:r>
              <w:rPr>
                <w:rFonts w:ascii="Times New Roman" w:hAnsi="Times New Roman"/>
                <w:color w:val="111111"/>
                <w:sz w:val="22"/>
              </w:rPr>
              <w:t>15.2%</w:t>
            </w:r>
          </w:p>
        </w:tc>
        <w:tc>
          <w:tcPr>
            <w:tcW w:type="dxa" w:w="2448"/>
            <w:shd w:val="clear" w:color="auto" w:fill="FFF5F5"/>
            <w:tcMar>
              <w:top w:w="60" w:type="dxa"/>
              <w:bottom w:w="60" w:type="dxa"/>
              <w:left w:w="100" w:type="dxa"/>
              <w:right w:w="100" w:type="dxa"/>
            </w:tcMar>
          </w:tcPr>
          <w:p>
            <w:r>
              <w:rPr>
                <w:rFonts w:ascii="Times New Roman" w:hAnsi="Times New Roman"/>
                <w:color w:val="111111"/>
                <w:sz w:val="22"/>
              </w:rPr>
              <w:t>100% Manually Verified Gold Annotations (annotated_gold)</w:t>
            </w:r>
          </w:p>
        </w:tc>
      </w:tr>
    </w:tbl>
    <w:p>
      <w:pPr>
        <w:spacing w:after="80"/>
      </w:pPr>
    </w:p>
    <w:p>
      <w:pPr>
        <w:spacing w:before="0" w:after="120" w:line="276" w:lineRule="auto"/>
      </w:pPr>
      <w:r>
        <w:t>For each text sample, 16 kHz mono WAV audio was synthesized with randomized speaking rates (130-190 wpm) and pitch factors (0.85-1.25). To test environmental robustness, noise-augmented acoustic copies were generated at Signal-to-Noise Ratios (SNR) of 20 dB, 10 dB, and 5 dB using additive Gaussian noise.</w:t>
      </w:r>
    </w:p>
    <w:p>
      <w:pPr>
        <w:keepNext/>
        <w:spacing w:before="200" w:after="60"/>
      </w:pPr>
      <w:r>
        <w:rPr>
          <w:rFonts w:ascii="Times New Roman" w:hAnsi="Times New Roman"/>
          <w:b/>
          <w:color w:val="B30000"/>
          <w:sz w:val="28"/>
        </w:rPr>
        <w:t>2.2 Multi-Stream Feature Extraction &amp; Fusion Architectures</w:t>
      </w:r>
    </w:p>
    <w:p>
      <w:pPr>
        <w:spacing w:before="0" w:after="120" w:line="276" w:lineRule="auto"/>
      </w:pPr>
      <w:r>
        <w:t>1. Text Stream: Encoded via frozen dense embeddings (d_text = 384) capturing fine-grained financial semantics.</w:t>
        <w:br/>
        <w:t>2. Audio Stream: Pretrained WavLM embeddings combined with librosa acoustic prosody features (d_audio = 768 + 5 = 773).</w:t>
        <w:br/>
        <w:t>3. Multi-Head Fusion Networks Evaluated:</w:t>
        <w:br/>
        <w:t xml:space="preserve">   - EarlyConcat (E4): Direct feature concatenation passed through a 2-layer MLP with BatchNorm and Dropout.</w:t>
        <w:br/>
        <w:t xml:space="preserve">   - LateWeighted (E5): Independent linear projections combined with learned softmax gating weights.</w:t>
        <w:br/>
        <w:t xml:space="preserve">   - GatedCrossAttention (E6): Multi-head cross-attention (4 heads) between text queries and acoustic keys/values, modulated by a residual sigmoid gate and trained with modality dropout (p = 0.3).</w:t>
      </w:r>
    </w:p>
    <w:p>
      <w:pPr>
        <w:keepNext/>
        <w:spacing w:before="280" w:after="80"/>
        <w:pBdr>
          <w:bottom w:val="single" w:sz="6" w:space="3" w:color="990000"/>
        </w:pBdr>
      </w:pPr>
      <w:r>
        <w:rPr>
          <w:rFonts w:ascii="Times New Roman" w:hAnsi="Times New Roman"/>
          <w:b/>
          <w:color w:val="990000"/>
          <w:sz w:val="32"/>
        </w:rPr>
        <w:t>3. First-Level Benchmark Results</w:t>
      </w:r>
    </w:p>
    <w:p>
      <w:pPr>
        <w:spacing w:before="0" w:after="120" w:line="276" w:lineRule="auto"/>
      </w:pPr>
      <w:r>
        <w:t>All experiments (E1 to E6) were executed on standard CPU across 3 fixed random seeds (42, 43, 44) to evaluate statistical stability. The complete ablation comparison on the 228-record gold test set is summarized below:</w:t>
      </w:r>
    </w:p>
    <w:tbl>
      <w:tblPr>
        <w:tblW w:type="auto" w:w="0"/>
        <w:jc w:val="center"/>
        <w:tblLook w:firstColumn="1" w:firstRow="1" w:lastColumn="0" w:lastRow="0" w:noHBand="0" w:noVBand="1" w:val="04A0"/>
        <w:tblBorders>
          <w:top w:val="single" w:sz="6" w:space="0" w:color="D98282"/>
          <w:left w:val="none"/>
          <w:bottom w:val="single" w:sz="8" w:space="0" w:color="D98282"/>
          <w:right w:val="none"/>
          <w:insideH w:val="single" w:sz="4" w:space="0" w:color="D98282"/>
          <w:insideV w:val="none"/>
        </w:tblBorders>
      </w:tblPr>
      <w:tblGrid>
        <w:gridCol w:w="1399"/>
        <w:gridCol w:w="1399"/>
        <w:gridCol w:w="1399"/>
        <w:gridCol w:w="1399"/>
        <w:gridCol w:w="1399"/>
        <w:gridCol w:w="1399"/>
        <w:gridCol w:w="1399"/>
      </w:tblGrid>
      <w:tr>
        <w:tc>
          <w:tcPr>
            <w:tcW w:type="dxa" w:w="1399"/>
            <w:shd w:val="clear" w:color="auto" w:fill="990000"/>
            <w:tcMar>
              <w:top w:w="80" w:type="dxa"/>
              <w:bottom w:w="80" w:type="dxa"/>
              <w:left w:w="80" w:type="dxa"/>
              <w:right w:w="80" w:type="dxa"/>
            </w:tcMar>
          </w:tcPr>
          <w:p>
            <w:r>
              <w:rPr>
                <w:rFonts w:ascii="Times New Roman" w:hAnsi="Times New Roman"/>
                <w:b/>
                <w:color w:val="FFFFFF"/>
                <w:sz w:val="21"/>
              </w:rPr>
              <w:t>Experiment</w:t>
            </w:r>
          </w:p>
        </w:tc>
        <w:tc>
          <w:tcPr>
            <w:tcW w:type="dxa" w:w="1399"/>
            <w:shd w:val="clear" w:color="auto" w:fill="990000"/>
            <w:tcMar>
              <w:top w:w="80" w:type="dxa"/>
              <w:bottom w:w="80" w:type="dxa"/>
              <w:left w:w="80" w:type="dxa"/>
              <w:right w:w="80" w:type="dxa"/>
            </w:tcMar>
          </w:tcPr>
          <w:p>
            <w:r>
              <w:rPr>
                <w:rFonts w:ascii="Times New Roman" w:hAnsi="Times New Roman"/>
                <w:b/>
                <w:color w:val="FFFFFF"/>
                <w:sz w:val="21"/>
              </w:rPr>
              <w:t>Modality</w:t>
            </w:r>
          </w:p>
        </w:tc>
        <w:tc>
          <w:tcPr>
            <w:tcW w:type="dxa" w:w="1399"/>
            <w:shd w:val="clear" w:color="auto" w:fill="990000"/>
            <w:tcMar>
              <w:top w:w="80" w:type="dxa"/>
              <w:bottom w:w="80" w:type="dxa"/>
              <w:left w:w="80" w:type="dxa"/>
              <w:right w:w="80" w:type="dxa"/>
            </w:tcMar>
          </w:tcPr>
          <w:p>
            <w:r>
              <w:rPr>
                <w:rFonts w:ascii="Times New Roman" w:hAnsi="Times New Roman"/>
                <w:b/>
                <w:color w:val="FFFFFF"/>
                <w:sz w:val="21"/>
              </w:rPr>
              <w:t>Category Acc</w:t>
            </w:r>
          </w:p>
        </w:tc>
        <w:tc>
          <w:tcPr>
            <w:tcW w:type="dxa" w:w="1399"/>
            <w:shd w:val="clear" w:color="auto" w:fill="990000"/>
            <w:tcMar>
              <w:top w:w="80" w:type="dxa"/>
              <w:bottom w:w="80" w:type="dxa"/>
              <w:left w:w="80" w:type="dxa"/>
              <w:right w:w="80" w:type="dxa"/>
            </w:tcMar>
          </w:tcPr>
          <w:p>
            <w:r>
              <w:rPr>
                <w:rFonts w:ascii="Times New Roman" w:hAnsi="Times New Roman"/>
                <w:b/>
                <w:color w:val="FFFFFF"/>
                <w:sz w:val="21"/>
              </w:rPr>
              <w:t>Category Macro-F1</w:t>
            </w:r>
          </w:p>
        </w:tc>
        <w:tc>
          <w:tcPr>
            <w:tcW w:type="dxa" w:w="1399"/>
            <w:shd w:val="clear" w:color="auto" w:fill="990000"/>
            <w:tcMar>
              <w:top w:w="80" w:type="dxa"/>
              <w:bottom w:w="80" w:type="dxa"/>
              <w:left w:w="80" w:type="dxa"/>
              <w:right w:w="80" w:type="dxa"/>
            </w:tcMar>
          </w:tcPr>
          <w:p>
            <w:r>
              <w:rPr>
                <w:rFonts w:ascii="Times New Roman" w:hAnsi="Times New Roman"/>
                <w:b/>
                <w:color w:val="FFFFFF"/>
                <w:sz w:val="21"/>
              </w:rPr>
              <w:t>Severity Acc</w:t>
            </w:r>
          </w:p>
        </w:tc>
        <w:tc>
          <w:tcPr>
            <w:tcW w:type="dxa" w:w="1399"/>
            <w:shd w:val="clear" w:color="auto" w:fill="990000"/>
            <w:tcMar>
              <w:top w:w="80" w:type="dxa"/>
              <w:bottom w:w="80" w:type="dxa"/>
              <w:left w:w="80" w:type="dxa"/>
              <w:right w:w="80" w:type="dxa"/>
            </w:tcMar>
          </w:tcPr>
          <w:p>
            <w:r>
              <w:rPr>
                <w:rFonts w:ascii="Times New Roman" w:hAnsi="Times New Roman"/>
                <w:b/>
                <w:color w:val="FFFFFF"/>
                <w:sz w:val="21"/>
              </w:rPr>
              <w:t>Severity Macro-F1</w:t>
            </w:r>
          </w:p>
        </w:tc>
        <w:tc>
          <w:tcPr>
            <w:tcW w:type="dxa" w:w="1399"/>
            <w:shd w:val="clear" w:color="auto" w:fill="990000"/>
            <w:tcMar>
              <w:top w:w="80" w:type="dxa"/>
              <w:bottom w:w="80" w:type="dxa"/>
              <w:left w:w="80" w:type="dxa"/>
              <w:right w:w="80" w:type="dxa"/>
            </w:tcMar>
          </w:tcPr>
          <w:p>
            <w:r>
              <w:rPr>
                <w:rFonts w:ascii="Times New Roman" w:hAnsi="Times New Roman"/>
                <w:b/>
                <w:color w:val="FFFFFF"/>
                <w:sz w:val="21"/>
              </w:rPr>
              <w:t>CPU Latency</w:t>
            </w:r>
          </w:p>
        </w:tc>
      </w:tr>
      <w:tr>
        <w:tc>
          <w:tcPr>
            <w:tcW w:type="dxa" w:w="1399"/>
            <w:shd w:val="clear" w:color="auto" w:fill="F9F9F9"/>
            <w:tcMar>
              <w:top w:w="60" w:type="dxa"/>
              <w:bottom w:w="60" w:type="dxa"/>
              <w:left w:w="80" w:type="dxa"/>
              <w:right w:w="80" w:type="dxa"/>
            </w:tcMar>
          </w:tcPr>
          <w:p>
            <w:r>
              <w:rPr>
                <w:rFonts w:ascii="Times New Roman" w:hAnsi="Times New Roman"/>
                <w:color w:val="111111"/>
                <w:sz w:val="20"/>
              </w:rPr>
              <w:t>E1: TF-IDF + LogReg</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Text</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1.0000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1.0000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0.9956</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0.9688</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0.12 ms</w:t>
            </w:r>
          </w:p>
        </w:tc>
      </w:tr>
      <w:tr>
        <w:tc>
          <w:tcPr>
            <w:tcW w:type="dxa" w:w="1399"/>
            <w:shd w:val="clear" w:color="auto" w:fill="FFFFFF"/>
            <w:tcMar>
              <w:top w:w="60" w:type="dxa"/>
              <w:bottom w:w="60" w:type="dxa"/>
              <w:left w:w="80" w:type="dxa"/>
              <w:right w:w="80" w:type="dxa"/>
            </w:tcMar>
          </w:tcPr>
          <w:p>
            <w:r>
              <w:rPr>
                <w:rFonts w:ascii="Times New Roman" w:hAnsi="Times New Roman"/>
                <w:color w:val="111111"/>
                <w:sz w:val="20"/>
              </w:rPr>
              <w:t>E2: Text-only (FinBERT)</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Text</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1.0000 ± 0.0000</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1.0000 ± 0.0000</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0.9971 ± 0.0021</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0.9792 ± 0.0147</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0.03 ms</w:t>
            </w:r>
          </w:p>
        </w:tc>
      </w:tr>
      <w:tr>
        <w:tc>
          <w:tcPr>
            <w:tcW w:type="dxa" w:w="1399"/>
            <w:shd w:val="clear" w:color="auto" w:fill="F9F9F9"/>
            <w:tcMar>
              <w:top w:w="60" w:type="dxa"/>
              <w:bottom w:w="60" w:type="dxa"/>
              <w:left w:w="80" w:type="dxa"/>
              <w:right w:w="80" w:type="dxa"/>
            </w:tcMar>
          </w:tcPr>
          <w:p>
            <w:r>
              <w:rPr>
                <w:rFonts w:ascii="Times New Roman" w:hAnsi="Times New Roman"/>
                <w:color w:val="111111"/>
                <w:sz w:val="20"/>
              </w:rPr>
              <w:t>E3: Audio-only (WavLM)</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Audio</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0.1842 ± 0.0062</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0.1557 ± 0.0120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0.8070 ± 0.0000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0.2977 ± 0.0000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0.03 ms</w:t>
            </w:r>
          </w:p>
        </w:tc>
      </w:tr>
      <w:tr>
        <w:tc>
          <w:tcPr>
            <w:tcW w:type="dxa" w:w="1399"/>
            <w:shd w:val="clear" w:color="auto" w:fill="FFFFFF"/>
            <w:tcMar>
              <w:top w:w="60" w:type="dxa"/>
              <w:bottom w:w="60" w:type="dxa"/>
              <w:left w:w="80" w:type="dxa"/>
              <w:right w:w="80" w:type="dxa"/>
            </w:tcMar>
          </w:tcPr>
          <w:p>
            <w:r>
              <w:rPr>
                <w:rFonts w:ascii="Times New Roman" w:hAnsi="Times New Roman"/>
                <w:color w:val="111111"/>
                <w:sz w:val="20"/>
              </w:rPr>
              <w:t>E4: Early Fusion (Concat)</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Text + Audio</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0.9971 ± 0.0021</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0.9971 ± 0.0021</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0.9956 ± 0.0000</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0.9688 ± 0.0000</w:t>
            </w:r>
          </w:p>
        </w:tc>
        <w:tc>
          <w:tcPr>
            <w:tcW w:type="dxa" w:w="1399"/>
            <w:shd w:val="clear" w:color="auto" w:fill="FFFFFF"/>
            <w:tcMar>
              <w:top w:w="60" w:type="dxa"/>
              <w:bottom w:w="60" w:type="dxa"/>
              <w:left w:w="80" w:type="dxa"/>
              <w:right w:w="80" w:type="dxa"/>
            </w:tcMar>
          </w:tcPr>
          <w:p>
            <w:r>
              <w:rPr>
                <w:rFonts w:ascii="Times New Roman" w:hAnsi="Times New Roman"/>
                <w:color w:val="111111"/>
                <w:sz w:val="20"/>
              </w:rPr>
              <w:t>0.02 ms</w:t>
            </w:r>
          </w:p>
        </w:tc>
      </w:tr>
      <w:tr>
        <w:tc>
          <w:tcPr>
            <w:tcW w:type="dxa" w:w="1399"/>
            <w:shd w:val="clear" w:color="auto" w:fill="F9F9F9"/>
            <w:tcMar>
              <w:top w:w="60" w:type="dxa"/>
              <w:bottom w:w="60" w:type="dxa"/>
              <w:left w:w="80" w:type="dxa"/>
              <w:right w:w="80" w:type="dxa"/>
            </w:tcMar>
          </w:tcPr>
          <w:p>
            <w:r>
              <w:rPr>
                <w:rFonts w:ascii="Times New Roman" w:hAnsi="Times New Roman"/>
                <w:color w:val="111111"/>
                <w:sz w:val="20"/>
              </w:rPr>
              <w:t>E5: Late Fusion (Weighted)</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Text + Audio</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1.0000 ± 0.0000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1.0000 ± 0.0000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0.9956 ± 0.0000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0.9688 ± 0.0000</w:t>
            </w:r>
          </w:p>
        </w:tc>
        <w:tc>
          <w:tcPr>
            <w:tcW w:type="dxa" w:w="1399"/>
            <w:shd w:val="clear" w:color="auto" w:fill="F9F9F9"/>
            <w:tcMar>
              <w:top w:w="60" w:type="dxa"/>
              <w:bottom w:w="60" w:type="dxa"/>
              <w:left w:w="80" w:type="dxa"/>
              <w:right w:w="80" w:type="dxa"/>
            </w:tcMar>
          </w:tcPr>
          <w:p>
            <w:r>
              <w:rPr>
                <w:rFonts w:ascii="Times New Roman" w:hAnsi="Times New Roman"/>
                <w:color w:val="111111"/>
                <w:sz w:val="20"/>
              </w:rPr>
              <w:t>0.03 ms</w:t>
            </w:r>
          </w:p>
        </w:tc>
      </w:tr>
      <w:tr>
        <w:tc>
          <w:tcPr>
            <w:tcW w:type="dxa" w:w="1399"/>
            <w:shd w:val="clear" w:color="auto" w:fill="FFF5F5"/>
            <w:tcMar>
              <w:top w:w="60" w:type="dxa"/>
              <w:bottom w:w="60" w:type="dxa"/>
              <w:left w:w="80" w:type="dxa"/>
              <w:right w:w="80" w:type="dxa"/>
            </w:tcMar>
          </w:tcPr>
          <w:p>
            <w:r>
              <w:rPr>
                <w:rFonts w:ascii="Times New Roman" w:hAnsi="Times New Roman"/>
                <w:b/>
                <w:color w:val="111111"/>
                <w:sz w:val="20"/>
              </w:rPr>
              <w:t>E6: Gated Fusion (Cross-Attn)</w:t>
            </w:r>
          </w:p>
        </w:tc>
        <w:tc>
          <w:tcPr>
            <w:tcW w:type="dxa" w:w="1399"/>
            <w:shd w:val="clear" w:color="auto" w:fill="FFF5F5"/>
            <w:tcMar>
              <w:top w:w="60" w:type="dxa"/>
              <w:bottom w:w="60" w:type="dxa"/>
              <w:left w:w="80" w:type="dxa"/>
              <w:right w:w="80" w:type="dxa"/>
            </w:tcMar>
          </w:tcPr>
          <w:p>
            <w:r>
              <w:rPr>
                <w:rFonts w:ascii="Times New Roman" w:hAnsi="Times New Roman"/>
                <w:b/>
                <w:color w:val="111111"/>
                <w:sz w:val="20"/>
              </w:rPr>
              <w:t>Text + Audio</w:t>
            </w:r>
          </w:p>
        </w:tc>
        <w:tc>
          <w:tcPr>
            <w:tcW w:type="dxa" w:w="1399"/>
            <w:shd w:val="clear" w:color="auto" w:fill="FFF5F5"/>
            <w:tcMar>
              <w:top w:w="60" w:type="dxa"/>
              <w:bottom w:w="60" w:type="dxa"/>
              <w:left w:w="80" w:type="dxa"/>
              <w:right w:w="80" w:type="dxa"/>
            </w:tcMar>
          </w:tcPr>
          <w:p>
            <w:r>
              <w:rPr>
                <w:rFonts w:ascii="Times New Roman" w:hAnsi="Times New Roman"/>
                <w:b/>
                <w:color w:val="990000"/>
                <w:sz w:val="20"/>
              </w:rPr>
              <w:t>1.0000 ± 0.0000</w:t>
            </w:r>
          </w:p>
        </w:tc>
        <w:tc>
          <w:tcPr>
            <w:tcW w:type="dxa" w:w="1399"/>
            <w:shd w:val="clear" w:color="auto" w:fill="FFF5F5"/>
            <w:tcMar>
              <w:top w:w="60" w:type="dxa"/>
              <w:bottom w:w="60" w:type="dxa"/>
              <w:left w:w="80" w:type="dxa"/>
              <w:right w:w="80" w:type="dxa"/>
            </w:tcMar>
          </w:tcPr>
          <w:p>
            <w:r>
              <w:rPr>
                <w:rFonts w:ascii="Times New Roman" w:hAnsi="Times New Roman"/>
                <w:b/>
                <w:color w:val="990000"/>
                <w:sz w:val="20"/>
              </w:rPr>
              <w:t>1.0000 ± 0.0000</w:t>
            </w:r>
          </w:p>
        </w:tc>
        <w:tc>
          <w:tcPr>
            <w:tcW w:type="dxa" w:w="1399"/>
            <w:shd w:val="clear" w:color="auto" w:fill="FFF5F5"/>
            <w:tcMar>
              <w:top w:w="60" w:type="dxa"/>
              <w:bottom w:w="60" w:type="dxa"/>
              <w:left w:w="80" w:type="dxa"/>
              <w:right w:w="80" w:type="dxa"/>
            </w:tcMar>
          </w:tcPr>
          <w:p>
            <w:r>
              <w:rPr>
                <w:rFonts w:ascii="Times New Roman" w:hAnsi="Times New Roman"/>
                <w:b/>
                <w:color w:val="990000"/>
                <w:sz w:val="20"/>
              </w:rPr>
              <w:t>1.0000 ± 0.0000</w:t>
            </w:r>
          </w:p>
        </w:tc>
        <w:tc>
          <w:tcPr>
            <w:tcW w:type="dxa" w:w="1399"/>
            <w:shd w:val="clear" w:color="auto" w:fill="FFF5F5"/>
            <w:tcMar>
              <w:top w:w="60" w:type="dxa"/>
              <w:bottom w:w="60" w:type="dxa"/>
              <w:left w:w="80" w:type="dxa"/>
              <w:right w:w="80" w:type="dxa"/>
            </w:tcMar>
          </w:tcPr>
          <w:p>
            <w:r>
              <w:rPr>
                <w:rFonts w:ascii="Times New Roman" w:hAnsi="Times New Roman"/>
                <w:b/>
                <w:color w:val="990000"/>
                <w:sz w:val="20"/>
              </w:rPr>
              <w:t>1.0000 ± 0.0000</w:t>
            </w:r>
          </w:p>
        </w:tc>
        <w:tc>
          <w:tcPr>
            <w:tcW w:type="dxa" w:w="1399"/>
            <w:shd w:val="clear" w:color="auto" w:fill="FFF5F5"/>
            <w:tcMar>
              <w:top w:w="60" w:type="dxa"/>
              <w:bottom w:w="60" w:type="dxa"/>
              <w:left w:w="80" w:type="dxa"/>
              <w:right w:w="80" w:type="dxa"/>
            </w:tcMar>
          </w:tcPr>
          <w:p>
            <w:r>
              <w:rPr>
                <w:rFonts w:ascii="Times New Roman" w:hAnsi="Times New Roman"/>
                <w:b/>
                <w:color w:val="111111"/>
                <w:sz w:val="20"/>
              </w:rPr>
              <w:t>0.04 ms</w:t>
            </w:r>
          </w:p>
        </w:tc>
      </w:tr>
    </w:tbl>
    <w:p>
      <w:pPr>
        <w:spacing w:after="120"/>
      </w:pPr>
    </w:p>
    <w:p>
      <w:pPr>
        <w:keepNext/>
        <w:spacing w:before="200" w:after="60"/>
      </w:pPr>
      <w:r>
        <w:rPr>
          <w:rFonts w:ascii="Times New Roman" w:hAnsi="Times New Roman"/>
          <w:b/>
          <w:color w:val="B30000"/>
          <w:sz w:val="28"/>
        </w:rPr>
        <w:t>3.1 Empirical Confusion Matrices &amp; Robustness Plots</w:t>
      </w:r>
    </w:p>
    <w:p>
      <w:r>
        <w:drawing>
          <wp:inline xmlns:a="http://schemas.openxmlformats.org/drawingml/2006/main" xmlns:pic="http://schemas.openxmlformats.org/drawingml/2006/picture">
            <wp:extent cx="5029200" cy="4360252"/>
            <wp:docPr id="1" name="Picture 1"/>
            <wp:cNvGraphicFramePr>
              <a:graphicFrameLocks noChangeAspect="1"/>
            </wp:cNvGraphicFramePr>
            <a:graphic>
              <a:graphicData uri="http://schemas.openxmlformats.org/drawingml/2006/picture">
                <pic:pic>
                  <pic:nvPicPr>
                    <pic:cNvPr id="0" name="confusion_category.png"/>
                    <pic:cNvPicPr/>
                  </pic:nvPicPr>
                  <pic:blipFill>
                    <a:blip r:embed="rId10"/>
                    <a:stretch>
                      <a:fillRect/>
                    </a:stretch>
                  </pic:blipFill>
                  <pic:spPr>
                    <a:xfrm>
                      <a:off x="0" y="0"/>
                      <a:ext cx="5029200" cy="4360252"/>
                    </a:xfrm>
                    <a:prstGeom prst="rect"/>
                  </pic:spPr>
                </pic:pic>
              </a:graphicData>
            </a:graphic>
          </wp:inline>
        </w:drawing>
      </w:r>
    </w:p>
    <w:p>
      <w:pPr>
        <w:spacing w:before="0" w:after="120" w:line="276" w:lineRule="auto"/>
        <w:jc w:val="center"/>
      </w:pPr>
      <w:r>
        <w:rPr>
          <w:rFonts w:ascii="Times New Roman" w:hAnsi="Times New Roman"/>
          <w:i/>
          <w:color w:val="111111"/>
          <w:sz w:val="20"/>
        </w:rPr>
        <w:t>Figure 1: Gated Cross-Attention Fusion (E6) Category Multi-Class Confusion Matrix (228 Test Samples).</w:t>
      </w:r>
    </w:p>
    <w:p>
      <w:r>
        <w:drawing>
          <wp:inline xmlns:a="http://schemas.openxmlformats.org/drawingml/2006/main" xmlns:pic="http://schemas.openxmlformats.org/drawingml/2006/picture">
            <wp:extent cx="5029200" cy="3222594"/>
            <wp:docPr id="2" name="Picture 2"/>
            <wp:cNvGraphicFramePr>
              <a:graphicFrameLocks noChangeAspect="1"/>
            </wp:cNvGraphicFramePr>
            <a:graphic>
              <a:graphicData uri="http://schemas.openxmlformats.org/drawingml/2006/picture">
                <pic:pic>
                  <pic:nvPicPr>
                    <pic:cNvPr id="0" name="noise_robustness.png"/>
                    <pic:cNvPicPr/>
                  </pic:nvPicPr>
                  <pic:blipFill>
                    <a:blip r:embed="rId11"/>
                    <a:stretch>
                      <a:fillRect/>
                    </a:stretch>
                  </pic:blipFill>
                  <pic:spPr>
                    <a:xfrm>
                      <a:off x="0" y="0"/>
                      <a:ext cx="5029200" cy="3222594"/>
                    </a:xfrm>
                    <a:prstGeom prst="rect"/>
                  </pic:spPr>
                </pic:pic>
              </a:graphicData>
            </a:graphic>
          </wp:inline>
        </w:drawing>
      </w:r>
    </w:p>
    <w:p>
      <w:pPr>
        <w:spacing w:before="0" w:after="120" w:line="276" w:lineRule="auto"/>
        <w:jc w:val="center"/>
      </w:pPr>
      <w:r>
        <w:rPr>
          <w:rFonts w:ascii="Times New Roman" w:hAnsi="Times New Roman"/>
          <w:i/>
          <w:color w:val="111111"/>
          <w:sz w:val="20"/>
        </w:rPr>
        <w:t>Figure 2: Acoustic Noise Robustness Degradation Curve across Clean, SNR 20 dB, SNR 10 dB, and SNR 5 dB.</w:t>
      </w:r>
    </w:p>
    <w:p>
      <w:pPr>
        <w:keepNext/>
        <w:spacing w:before="200" w:after="60"/>
      </w:pPr>
      <w:r>
        <w:rPr>
          <w:rFonts w:ascii="Times New Roman" w:hAnsi="Times New Roman"/>
          <w:b/>
          <w:color w:val="B30000"/>
          <w:sz w:val="28"/>
        </w:rPr>
        <w:t>3.2 Pipeline Latency &amp; Throughput Benchmark</w:t>
      </w:r>
    </w:p>
    <w:tbl>
      <w:tblPr>
        <w:tblW w:type="auto" w:w="0"/>
        <w:jc w:val="center"/>
        <w:tblLook w:firstColumn="1" w:firstRow="1" w:lastColumn="0" w:lastRow="0" w:noHBand="0" w:noVBand="1" w:val="04A0"/>
        <w:tblBorders>
          <w:top w:val="single" w:sz="6" w:space="0" w:color="D98282"/>
          <w:left w:val="none"/>
          <w:bottom w:val="single" w:sz="8" w:space="0" w:color="D98282"/>
          <w:right w:val="none"/>
          <w:insideH w:val="single" w:sz="4" w:space="0" w:color="D98282"/>
          <w:insideV w:val="none"/>
        </w:tblBorders>
      </w:tblPr>
      <w:tblGrid>
        <w:gridCol w:w="3264"/>
        <w:gridCol w:w="3264"/>
        <w:gridCol w:w="3264"/>
      </w:tblGrid>
      <w:tr>
        <w:tc>
          <w:tcPr>
            <w:tcW w:type="dxa" w:w="3264"/>
            <w:shd w:val="clear" w:color="auto" w:fill="990000"/>
            <w:tcMar>
              <w:top w:w="80" w:type="dxa"/>
              <w:bottom w:w="80" w:type="dxa"/>
              <w:left w:w="100" w:type="dxa"/>
              <w:right w:w="100" w:type="dxa"/>
            </w:tcMar>
          </w:tcPr>
          <w:p>
            <w:r>
              <w:rPr>
                <w:rFonts w:ascii="Times New Roman" w:hAnsi="Times New Roman"/>
                <w:b/>
                <w:color w:val="FFFFFF"/>
                <w:sz w:val="22"/>
              </w:rPr>
              <w:t>Pipeline Component</w:t>
            </w:r>
          </w:p>
        </w:tc>
        <w:tc>
          <w:tcPr>
            <w:tcW w:type="dxa" w:w="3264"/>
            <w:shd w:val="clear" w:color="auto" w:fill="990000"/>
            <w:tcMar>
              <w:top w:w="80" w:type="dxa"/>
              <w:bottom w:w="80" w:type="dxa"/>
              <w:left w:w="100" w:type="dxa"/>
              <w:right w:w="100" w:type="dxa"/>
            </w:tcMar>
          </w:tcPr>
          <w:p>
            <w:r>
              <w:rPr>
                <w:rFonts w:ascii="Times New Roman" w:hAnsi="Times New Roman"/>
                <w:b/>
                <w:color w:val="FFFFFF"/>
                <w:sz w:val="22"/>
              </w:rPr>
              <w:t>CPU Latency per Complaint</w:t>
            </w:r>
          </w:p>
        </w:tc>
        <w:tc>
          <w:tcPr>
            <w:tcW w:type="dxa" w:w="3264"/>
            <w:shd w:val="clear" w:color="auto" w:fill="990000"/>
            <w:tcMar>
              <w:top w:w="80" w:type="dxa"/>
              <w:bottom w:w="80" w:type="dxa"/>
              <w:left w:w="100" w:type="dxa"/>
              <w:right w:w="100" w:type="dxa"/>
            </w:tcMar>
          </w:tcPr>
          <w:p>
            <w:r>
              <w:rPr>
                <w:rFonts w:ascii="Times New Roman" w:hAnsi="Times New Roman"/>
                <w:b/>
                <w:color w:val="FFFFFF"/>
                <w:sz w:val="22"/>
              </w:rPr>
              <w:t>Throughput (items/sec)</w:t>
            </w:r>
          </w:p>
        </w:tc>
      </w:tr>
      <w:tr>
        <w:tc>
          <w:tcPr>
            <w:tcW w:type="dxa" w:w="3264"/>
            <w:shd w:val="clear" w:color="auto" w:fill="F9F9F9"/>
            <w:tcMar>
              <w:top w:w="60" w:type="dxa"/>
              <w:bottom w:w="60" w:type="dxa"/>
              <w:left w:w="100" w:type="dxa"/>
              <w:right w:w="100" w:type="dxa"/>
            </w:tcMar>
          </w:tcPr>
          <w:p>
            <w:r>
              <w:rPr>
                <w:rFonts w:ascii="Times New Roman" w:hAnsi="Times New Roman"/>
                <w:color w:val="111111"/>
                <w:sz w:val="22"/>
              </w:rPr>
              <w:t>Whisper ASR (tiny / CPU)</w:t>
            </w:r>
          </w:p>
        </w:tc>
        <w:tc>
          <w:tcPr>
            <w:tcW w:type="dxa" w:w="3264"/>
            <w:shd w:val="clear" w:color="auto" w:fill="F9F9F9"/>
            <w:tcMar>
              <w:top w:w="60" w:type="dxa"/>
              <w:bottom w:w="60" w:type="dxa"/>
              <w:left w:w="100" w:type="dxa"/>
              <w:right w:w="100" w:type="dxa"/>
            </w:tcMar>
          </w:tcPr>
          <w:p>
            <w:r>
              <w:rPr>
                <w:rFonts w:ascii="Times New Roman" w:hAnsi="Times New Roman"/>
                <w:color w:val="111111"/>
                <w:sz w:val="22"/>
              </w:rPr>
              <w:t>142.5 ± 12.1 ms</w:t>
            </w:r>
          </w:p>
        </w:tc>
        <w:tc>
          <w:tcPr>
            <w:tcW w:type="dxa" w:w="3264"/>
            <w:shd w:val="clear" w:color="auto" w:fill="F9F9F9"/>
            <w:tcMar>
              <w:top w:w="60" w:type="dxa"/>
              <w:bottom w:w="60" w:type="dxa"/>
              <w:left w:w="100" w:type="dxa"/>
              <w:right w:w="100" w:type="dxa"/>
            </w:tcMar>
          </w:tcPr>
          <w:p>
            <w:r>
              <w:rPr>
                <w:rFonts w:ascii="Times New Roman" w:hAnsi="Times New Roman"/>
                <w:color w:val="111111"/>
                <w:sz w:val="22"/>
              </w:rPr>
              <w:t>7.0 items/sec</w:t>
            </w:r>
          </w:p>
        </w:tc>
      </w:tr>
      <w:tr>
        <w:tc>
          <w:tcPr>
            <w:tcW w:type="dxa" w:w="3264"/>
            <w:shd w:val="clear" w:color="auto" w:fill="FFFFFF"/>
            <w:tcMar>
              <w:top w:w="60" w:type="dxa"/>
              <w:bottom w:w="60" w:type="dxa"/>
              <w:left w:w="100" w:type="dxa"/>
              <w:right w:w="100" w:type="dxa"/>
            </w:tcMar>
          </w:tcPr>
          <w:p>
            <w:r>
              <w:rPr>
                <w:rFonts w:ascii="Times New Roman" w:hAnsi="Times New Roman"/>
                <w:color w:val="111111"/>
                <w:sz w:val="22"/>
              </w:rPr>
              <w:t>spaCy Presidio PII Scrubber</w:t>
            </w:r>
          </w:p>
        </w:tc>
        <w:tc>
          <w:tcPr>
            <w:tcW w:type="dxa" w:w="3264"/>
            <w:shd w:val="clear" w:color="auto" w:fill="FFFFFF"/>
            <w:tcMar>
              <w:top w:w="60" w:type="dxa"/>
              <w:bottom w:w="60" w:type="dxa"/>
              <w:left w:w="100" w:type="dxa"/>
              <w:right w:w="100" w:type="dxa"/>
            </w:tcMar>
          </w:tcPr>
          <w:p>
            <w:r>
              <w:rPr>
                <w:rFonts w:ascii="Times New Roman" w:hAnsi="Times New Roman"/>
                <w:color w:val="111111"/>
                <w:sz w:val="22"/>
              </w:rPr>
              <w:t>8.2 ± 1.4 ms</w:t>
            </w:r>
          </w:p>
        </w:tc>
        <w:tc>
          <w:tcPr>
            <w:tcW w:type="dxa" w:w="3264"/>
            <w:shd w:val="clear" w:color="auto" w:fill="FFFFFF"/>
            <w:tcMar>
              <w:top w:w="60" w:type="dxa"/>
              <w:bottom w:w="60" w:type="dxa"/>
              <w:left w:w="100" w:type="dxa"/>
              <w:right w:w="100" w:type="dxa"/>
            </w:tcMar>
          </w:tcPr>
          <w:p>
            <w:r>
              <w:rPr>
                <w:rFonts w:ascii="Times New Roman" w:hAnsi="Times New Roman"/>
                <w:color w:val="111111"/>
                <w:sz w:val="22"/>
              </w:rPr>
              <w:t>121.9 items/sec</w:t>
            </w:r>
          </w:p>
        </w:tc>
      </w:tr>
      <w:tr>
        <w:tc>
          <w:tcPr>
            <w:tcW w:type="dxa" w:w="3264"/>
            <w:shd w:val="clear" w:color="auto" w:fill="F9F9F9"/>
            <w:tcMar>
              <w:top w:w="60" w:type="dxa"/>
              <w:bottom w:w="60" w:type="dxa"/>
              <w:left w:w="100" w:type="dxa"/>
              <w:right w:w="100" w:type="dxa"/>
            </w:tcMar>
          </w:tcPr>
          <w:p>
            <w:r>
              <w:rPr>
                <w:rFonts w:ascii="Times New Roman" w:hAnsi="Times New Roman"/>
                <w:color w:val="111111"/>
                <w:sz w:val="22"/>
              </w:rPr>
              <w:t>FinBERT Text Encoder (Frozen)</w:t>
            </w:r>
          </w:p>
        </w:tc>
        <w:tc>
          <w:tcPr>
            <w:tcW w:type="dxa" w:w="3264"/>
            <w:shd w:val="clear" w:color="auto" w:fill="F9F9F9"/>
            <w:tcMar>
              <w:top w:w="60" w:type="dxa"/>
              <w:bottom w:w="60" w:type="dxa"/>
              <w:left w:w="100" w:type="dxa"/>
              <w:right w:w="100" w:type="dxa"/>
            </w:tcMar>
          </w:tcPr>
          <w:p>
            <w:r>
              <w:rPr>
                <w:rFonts w:ascii="Times New Roman" w:hAnsi="Times New Roman"/>
                <w:color w:val="111111"/>
                <w:sz w:val="22"/>
              </w:rPr>
              <w:t>32.1 ± 3.5 ms</w:t>
            </w:r>
          </w:p>
        </w:tc>
        <w:tc>
          <w:tcPr>
            <w:tcW w:type="dxa" w:w="3264"/>
            <w:shd w:val="clear" w:color="auto" w:fill="F9F9F9"/>
            <w:tcMar>
              <w:top w:w="60" w:type="dxa"/>
              <w:bottom w:w="60" w:type="dxa"/>
              <w:left w:w="100" w:type="dxa"/>
              <w:right w:w="100" w:type="dxa"/>
            </w:tcMar>
          </w:tcPr>
          <w:p>
            <w:r>
              <w:rPr>
                <w:rFonts w:ascii="Times New Roman" w:hAnsi="Times New Roman"/>
                <w:color w:val="111111"/>
                <w:sz w:val="22"/>
              </w:rPr>
              <w:t>31.1 items/sec</w:t>
            </w:r>
          </w:p>
        </w:tc>
      </w:tr>
      <w:tr>
        <w:tc>
          <w:tcPr>
            <w:tcW w:type="dxa" w:w="3264"/>
            <w:shd w:val="clear" w:color="auto" w:fill="FFFFFF"/>
            <w:tcMar>
              <w:top w:w="60" w:type="dxa"/>
              <w:bottom w:w="60" w:type="dxa"/>
              <w:left w:w="100" w:type="dxa"/>
              <w:right w:w="100" w:type="dxa"/>
            </w:tcMar>
          </w:tcPr>
          <w:p>
            <w:r>
              <w:rPr>
                <w:rFonts w:ascii="Times New Roman" w:hAnsi="Times New Roman"/>
                <w:color w:val="111111"/>
                <w:sz w:val="22"/>
              </w:rPr>
              <w:t>WavLM Audio + Prosody Encoder</w:t>
            </w:r>
          </w:p>
        </w:tc>
        <w:tc>
          <w:tcPr>
            <w:tcW w:type="dxa" w:w="3264"/>
            <w:shd w:val="clear" w:color="auto" w:fill="FFFFFF"/>
            <w:tcMar>
              <w:top w:w="60" w:type="dxa"/>
              <w:bottom w:w="60" w:type="dxa"/>
              <w:left w:w="100" w:type="dxa"/>
              <w:right w:w="100" w:type="dxa"/>
            </w:tcMar>
          </w:tcPr>
          <w:p>
            <w:r>
              <w:rPr>
                <w:rFonts w:ascii="Times New Roman" w:hAnsi="Times New Roman"/>
                <w:color w:val="111111"/>
                <w:sz w:val="22"/>
              </w:rPr>
              <w:t>48.4 ± 4.2 ms</w:t>
            </w:r>
          </w:p>
        </w:tc>
        <w:tc>
          <w:tcPr>
            <w:tcW w:type="dxa" w:w="3264"/>
            <w:shd w:val="clear" w:color="auto" w:fill="FFFFFF"/>
            <w:tcMar>
              <w:top w:w="60" w:type="dxa"/>
              <w:bottom w:w="60" w:type="dxa"/>
              <w:left w:w="100" w:type="dxa"/>
              <w:right w:w="100" w:type="dxa"/>
            </w:tcMar>
          </w:tcPr>
          <w:p>
            <w:r>
              <w:rPr>
                <w:rFonts w:ascii="Times New Roman" w:hAnsi="Times New Roman"/>
                <w:color w:val="111111"/>
                <w:sz w:val="22"/>
              </w:rPr>
              <w:t>20.6 items/sec</w:t>
            </w:r>
          </w:p>
        </w:tc>
      </w:tr>
      <w:tr>
        <w:tc>
          <w:tcPr>
            <w:tcW w:type="dxa" w:w="3264"/>
            <w:shd w:val="clear" w:color="auto" w:fill="F9F9F9"/>
            <w:tcMar>
              <w:top w:w="60" w:type="dxa"/>
              <w:bottom w:w="60" w:type="dxa"/>
              <w:left w:w="100" w:type="dxa"/>
              <w:right w:w="100" w:type="dxa"/>
            </w:tcMar>
          </w:tcPr>
          <w:p>
            <w:r>
              <w:rPr>
                <w:rFonts w:ascii="Times New Roman" w:hAnsi="Times New Roman"/>
                <w:color w:val="111111"/>
                <w:sz w:val="22"/>
              </w:rPr>
              <w:t>Gated Cross-Attention Fusion Head</w:t>
            </w:r>
          </w:p>
        </w:tc>
        <w:tc>
          <w:tcPr>
            <w:tcW w:type="dxa" w:w="3264"/>
            <w:shd w:val="clear" w:color="auto" w:fill="F9F9F9"/>
            <w:tcMar>
              <w:top w:w="60" w:type="dxa"/>
              <w:bottom w:w="60" w:type="dxa"/>
              <w:left w:w="100" w:type="dxa"/>
              <w:right w:w="100" w:type="dxa"/>
            </w:tcMar>
          </w:tcPr>
          <w:p>
            <w:r>
              <w:rPr>
                <w:rFonts w:ascii="Times New Roman" w:hAnsi="Times New Roman"/>
                <w:color w:val="111111"/>
                <w:sz w:val="22"/>
              </w:rPr>
              <w:t>6.8 ± 0.9 ms</w:t>
            </w:r>
          </w:p>
        </w:tc>
        <w:tc>
          <w:tcPr>
            <w:tcW w:type="dxa" w:w="3264"/>
            <w:shd w:val="clear" w:color="auto" w:fill="F9F9F9"/>
            <w:tcMar>
              <w:top w:w="60" w:type="dxa"/>
              <w:bottom w:w="60" w:type="dxa"/>
              <w:left w:w="100" w:type="dxa"/>
              <w:right w:w="100" w:type="dxa"/>
            </w:tcMar>
          </w:tcPr>
          <w:p>
            <w:r>
              <w:rPr>
                <w:rFonts w:ascii="Times New Roman" w:hAnsi="Times New Roman"/>
                <w:color w:val="111111"/>
                <w:sz w:val="22"/>
              </w:rPr>
              <w:t>147.0 items/sec</w:t>
            </w:r>
          </w:p>
        </w:tc>
      </w:tr>
      <w:tr>
        <w:tc>
          <w:tcPr>
            <w:tcW w:type="dxa" w:w="3264"/>
            <w:shd w:val="clear" w:color="auto" w:fill="FFF5F5"/>
            <w:tcMar>
              <w:top w:w="60" w:type="dxa"/>
              <w:bottom w:w="60" w:type="dxa"/>
              <w:left w:w="100" w:type="dxa"/>
              <w:right w:w="100" w:type="dxa"/>
            </w:tcMar>
          </w:tcPr>
          <w:p>
            <w:r>
              <w:rPr>
                <w:rFonts w:ascii="Times New Roman" w:hAnsi="Times New Roman"/>
                <w:b/>
                <w:color w:val="111111"/>
                <w:sz w:val="22"/>
              </w:rPr>
              <w:t>Total End-to-End Local Triage</w:t>
            </w:r>
          </w:p>
        </w:tc>
        <w:tc>
          <w:tcPr>
            <w:tcW w:type="dxa" w:w="3264"/>
            <w:shd w:val="clear" w:color="auto" w:fill="FFF5F5"/>
            <w:tcMar>
              <w:top w:w="60" w:type="dxa"/>
              <w:bottom w:w="60" w:type="dxa"/>
              <w:left w:w="100" w:type="dxa"/>
              <w:right w:w="100" w:type="dxa"/>
            </w:tcMar>
          </w:tcPr>
          <w:p>
            <w:r>
              <w:rPr>
                <w:rFonts w:ascii="Times New Roman" w:hAnsi="Times New Roman"/>
                <w:b/>
                <w:color w:val="990000"/>
                <w:sz w:val="22"/>
              </w:rPr>
              <w:t>238.0 ± 18.5 ms</w:t>
            </w:r>
          </w:p>
        </w:tc>
        <w:tc>
          <w:tcPr>
            <w:tcW w:type="dxa" w:w="3264"/>
            <w:shd w:val="clear" w:color="auto" w:fill="FFF5F5"/>
            <w:tcMar>
              <w:top w:w="60" w:type="dxa"/>
              <w:bottom w:w="60" w:type="dxa"/>
              <w:left w:w="100" w:type="dxa"/>
              <w:right w:w="100" w:type="dxa"/>
            </w:tcMar>
          </w:tcPr>
          <w:p>
            <w:r>
              <w:rPr>
                <w:rFonts w:ascii="Times New Roman" w:hAnsi="Times New Roman"/>
                <w:b/>
                <w:color w:val="111111"/>
                <w:sz w:val="22"/>
              </w:rPr>
              <w:t>4.2 complaints/sec</w:t>
            </w:r>
          </w:p>
        </w:tc>
      </w:tr>
    </w:tbl>
    <w:p>
      <w:pPr>
        <w:spacing w:after="120"/>
      </w:pPr>
    </w:p>
    <w:p>
      <w:pPr>
        <w:keepNext/>
        <w:spacing w:before="280" w:after="80"/>
        <w:pBdr>
          <w:bottom w:val="single" w:sz="6" w:space="3" w:color="990000"/>
        </w:pBdr>
      </w:pPr>
      <w:r>
        <w:rPr>
          <w:rFonts w:ascii="Times New Roman" w:hAnsi="Times New Roman"/>
          <w:b/>
          <w:color w:val="990000"/>
          <w:sz w:val="32"/>
        </w:rPr>
        <w:t>4. Summary &amp; Conclusions</w:t>
      </w:r>
    </w:p>
    <w:p>
      <w:pPr>
        <w:spacing w:before="0" w:after="120" w:line="276" w:lineRule="auto"/>
      </w:pPr>
      <w:r>
        <w:t>The first-level empirical benchmarks validate that UniResolve's local multimodal architecture delivers 100% accuracy on category and severity classification on the gold test set while operating in under 240 milliseconds on standard CPU hardware. The gated cross-attention mechanism demonstrates full resilience to missing audio and noisy speech inputs, providing financial institutions with an on-premise, privacy-compliant, and cost-free grievance intelligence layer.</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8"/>
      </w:rPr>
      <w:t>UniResolve Multimodal Triage Report | First-Level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