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100" w:after="360"/>
        <w:jc w:val="center"/>
      </w:pPr>
      <w:r>
        <w:rPr>
          <w:rFonts w:ascii="Times New Roman" w:hAnsi="Times New Roman" w:eastAsia="Times New Roman"/>
          <w:b/>
          <w:i w:val="0"/>
          <w:color w:val="A61B1B"/>
          <w:sz w:val="32"/>
        </w:rPr>
        <w:t>Scalable Music Recommendation System Using Big Data Technologies</w:t>
      </w:r>
    </w:p>
    <w:p>
      <w:pPr>
        <w:pStyle w:val="Subtitle"/>
        <w:spacing w:after="1300"/>
        <w:jc w:val="center"/>
      </w:pPr>
      <w:r>
        <w:rPr>
          <w:rFonts w:ascii="Times New Roman" w:hAnsi="Times New Roman" w:eastAsia="Times New Roman"/>
          <w:b/>
          <w:i w:val="0"/>
          <w:color w:val="A61B1B"/>
          <w:sz w:val="28"/>
        </w:rPr>
        <w:t>Case Study Report</w:t>
      </w:r>
    </w:p>
    <w:p>
      <w:pPr>
        <w:spacing w:after="140"/>
        <w:jc w:val="center"/>
      </w:pPr>
      <w:r>
        <w:rPr>
          <w:rFonts w:ascii="Times New Roman" w:hAnsi="Times New Roman" w:eastAsia="Times New Roman"/>
          <w:b/>
          <w:i w:val="0"/>
          <w:color w:val="000000"/>
          <w:sz w:val="24"/>
        </w:rPr>
        <w:t>Prepared by Kresha Shah</w:t>
      </w:r>
    </w:p>
    <w:p>
      <w:pPr>
        <w:spacing w:after="140"/>
        <w:jc w:val="center"/>
      </w:pPr>
      <w:r>
        <w:rPr>
          <w:rFonts w:ascii="Times New Roman" w:hAnsi="Times New Roman" w:eastAsia="Times New Roman"/>
          <w:b w:val="0"/>
          <w:i w:val="0"/>
          <w:color w:val="000000"/>
          <w:sz w:val="24"/>
        </w:rPr>
        <w:t>PRN 24070126512</w:t>
      </w:r>
    </w:p>
    <w:p>
      <w:pPr>
        <w:spacing w:after="140"/>
        <w:jc w:val="center"/>
      </w:pPr>
      <w:r>
        <w:rPr>
          <w:rFonts w:ascii="Times New Roman" w:hAnsi="Times New Roman" w:eastAsia="Times New Roman"/>
          <w:b w:val="0"/>
          <w:i w:val="0"/>
          <w:color w:val="000000"/>
          <w:sz w:val="24"/>
        </w:rPr>
        <w:t>Big Data Analytics Project</w:t>
      </w:r>
    </w:p>
    <w:p>
      <w:pPr>
        <w:spacing w:after="140"/>
        <w:jc w:val="center"/>
      </w:pPr>
      <w:r>
        <w:rPr>
          <w:rFonts w:ascii="Times New Roman" w:hAnsi="Times New Roman" w:eastAsia="Times New Roman"/>
          <w:b w:val="0"/>
          <w:i w:val="0"/>
          <w:color w:val="000000"/>
          <w:sz w:val="24"/>
        </w:rPr>
        <w:t>October 2026</w:t>
      </w:r>
    </w:p>
    <w:p>
      <w:r>
        <w:br w:type="page"/>
      </w:r>
    </w:p>
    <w:p>
      <w:pPr>
        <w:keepNext/>
        <w:spacing w:before="240" w:after="100"/>
      </w:pPr>
      <w:r>
        <w:rPr>
          <w:rFonts w:ascii="Times New Roman" w:hAnsi="Times New Roman" w:eastAsia="Times New Roman"/>
          <w:b/>
          <w:i w:val="0"/>
          <w:color w:val="A61B1B"/>
          <w:sz w:val="28"/>
        </w:rPr>
        <w:t>Contents</w:t>
      </w:r>
    </w:p>
    <w:p>
      <w:pPr>
        <w:pStyle w:val="ListBullet"/>
        <w:spacing w:after="60" w:line="259" w:lineRule="auto"/>
      </w:pPr>
      <w:r>
        <w:rPr>
          <w:rFonts w:ascii="Times New Roman" w:hAnsi="Times New Roman" w:eastAsia="Times New Roman"/>
          <w:b w:val="0"/>
          <w:i w:val="0"/>
          <w:color w:val="000000"/>
          <w:sz w:val="24"/>
        </w:rPr>
        <w:t>1. Title of Case Study</w:t>
      </w:r>
    </w:p>
    <w:p>
      <w:pPr>
        <w:pStyle w:val="ListBullet"/>
        <w:spacing w:after="60" w:line="259" w:lineRule="auto"/>
      </w:pPr>
      <w:r>
        <w:rPr>
          <w:rFonts w:ascii="Times New Roman" w:hAnsi="Times New Roman" w:eastAsia="Times New Roman"/>
          <w:b w:val="0"/>
          <w:i w:val="0"/>
          <w:color w:val="000000"/>
          <w:sz w:val="24"/>
        </w:rPr>
        <w:t>2. Problem Statement and Objectives</w:t>
      </w:r>
    </w:p>
    <w:p>
      <w:pPr>
        <w:pStyle w:val="ListBullet"/>
        <w:spacing w:after="60" w:line="259" w:lineRule="auto"/>
      </w:pPr>
      <w:r>
        <w:rPr>
          <w:rFonts w:ascii="Times New Roman" w:hAnsi="Times New Roman" w:eastAsia="Times New Roman"/>
          <w:b w:val="0"/>
          <w:i w:val="0"/>
          <w:color w:val="000000"/>
          <w:sz w:val="24"/>
        </w:rPr>
        <w:t>3. Background and Introduction</w:t>
      </w:r>
    </w:p>
    <w:p>
      <w:pPr>
        <w:pStyle w:val="ListBullet"/>
        <w:spacing w:after="60" w:line="259" w:lineRule="auto"/>
      </w:pPr>
      <w:r>
        <w:rPr>
          <w:rFonts w:ascii="Times New Roman" w:hAnsi="Times New Roman" w:eastAsia="Times New Roman"/>
          <w:b w:val="0"/>
          <w:i w:val="0"/>
          <w:color w:val="000000"/>
          <w:sz w:val="24"/>
        </w:rPr>
        <w:t>4. Dataset Description</w:t>
      </w:r>
    </w:p>
    <w:p>
      <w:pPr>
        <w:pStyle w:val="ListBullet"/>
        <w:spacing w:after="60" w:line="259" w:lineRule="auto"/>
      </w:pPr>
      <w:r>
        <w:rPr>
          <w:rFonts w:ascii="Times New Roman" w:hAnsi="Times New Roman" w:eastAsia="Times New Roman"/>
          <w:b w:val="0"/>
          <w:i w:val="0"/>
          <w:color w:val="000000"/>
          <w:sz w:val="24"/>
        </w:rPr>
        <w:t>5. Methodology</w:t>
      </w:r>
    </w:p>
    <w:p>
      <w:pPr>
        <w:pStyle w:val="ListBullet"/>
        <w:spacing w:after="60" w:line="259" w:lineRule="auto"/>
      </w:pPr>
      <w:r>
        <w:rPr>
          <w:rFonts w:ascii="Times New Roman" w:hAnsi="Times New Roman" w:eastAsia="Times New Roman"/>
          <w:b w:val="0"/>
          <w:i w:val="0"/>
          <w:color w:val="000000"/>
          <w:sz w:val="24"/>
        </w:rPr>
        <w:t>6. System Architecture and Workflow</w:t>
      </w:r>
    </w:p>
    <w:p>
      <w:pPr>
        <w:pStyle w:val="ListBullet"/>
        <w:spacing w:after="60" w:line="259" w:lineRule="auto"/>
      </w:pPr>
      <w:r>
        <w:rPr>
          <w:rFonts w:ascii="Times New Roman" w:hAnsi="Times New Roman" w:eastAsia="Times New Roman"/>
          <w:b w:val="0"/>
          <w:i w:val="0"/>
          <w:color w:val="000000"/>
          <w:sz w:val="24"/>
        </w:rPr>
        <w:t>7. Big Data Tools and Technologies Used</w:t>
      </w:r>
    </w:p>
    <w:p>
      <w:pPr>
        <w:pStyle w:val="ListBullet"/>
        <w:spacing w:after="60" w:line="259" w:lineRule="auto"/>
      </w:pPr>
      <w:r>
        <w:rPr>
          <w:rFonts w:ascii="Times New Roman" w:hAnsi="Times New Roman" w:eastAsia="Times New Roman"/>
          <w:b w:val="0"/>
          <w:i w:val="0"/>
          <w:color w:val="000000"/>
          <w:sz w:val="24"/>
        </w:rPr>
        <w:t>8. Implementation Queries and Algorithms</w:t>
      </w:r>
    </w:p>
    <w:p>
      <w:pPr>
        <w:pStyle w:val="ListBullet"/>
        <w:spacing w:after="60" w:line="259" w:lineRule="auto"/>
      </w:pPr>
      <w:r>
        <w:rPr>
          <w:rFonts w:ascii="Times New Roman" w:hAnsi="Times New Roman" w:eastAsia="Times New Roman"/>
          <w:b w:val="0"/>
          <w:i w:val="0"/>
          <w:color w:val="000000"/>
          <w:sz w:val="24"/>
        </w:rPr>
        <w:t>9. Analysis and Results</w:t>
      </w:r>
    </w:p>
    <w:p>
      <w:pPr>
        <w:pStyle w:val="ListBullet"/>
        <w:spacing w:after="60" w:line="259" w:lineRule="auto"/>
      </w:pPr>
      <w:r>
        <w:rPr>
          <w:rFonts w:ascii="Times New Roman" w:hAnsi="Times New Roman" w:eastAsia="Times New Roman"/>
          <w:b w:val="0"/>
          <w:i w:val="0"/>
          <w:color w:val="000000"/>
          <w:sz w:val="24"/>
        </w:rPr>
        <w:t>10. Visualization and Graphs</w:t>
      </w:r>
    </w:p>
    <w:p>
      <w:pPr>
        <w:pStyle w:val="ListBullet"/>
        <w:spacing w:after="60" w:line="259" w:lineRule="auto"/>
      </w:pPr>
      <w:r>
        <w:rPr>
          <w:rFonts w:ascii="Times New Roman" w:hAnsi="Times New Roman" w:eastAsia="Times New Roman"/>
          <w:b w:val="0"/>
          <w:i w:val="0"/>
          <w:color w:val="000000"/>
          <w:sz w:val="24"/>
        </w:rPr>
        <w:t>11. Conclusion</w:t>
      </w:r>
    </w:p>
    <w:p>
      <w:pPr>
        <w:pStyle w:val="ListBullet"/>
        <w:spacing w:after="60" w:line="259" w:lineRule="auto"/>
      </w:pPr>
      <w:r>
        <w:rPr>
          <w:rFonts w:ascii="Times New Roman" w:hAnsi="Times New Roman" w:eastAsia="Times New Roman"/>
          <w:b w:val="0"/>
          <w:i w:val="0"/>
          <w:color w:val="000000"/>
          <w:sz w:val="24"/>
        </w:rPr>
        <w:t>12. References</w:t>
      </w:r>
    </w:p>
    <w:p>
      <w:r>
        <w:br w:type="page"/>
      </w:r>
    </w:p>
    <w:p>
      <w:pPr>
        <w:keepNext/>
        <w:spacing w:before="240" w:after="100"/>
      </w:pPr>
      <w:r>
        <w:rPr>
          <w:rFonts w:ascii="Times New Roman" w:hAnsi="Times New Roman" w:eastAsia="Times New Roman"/>
          <w:b/>
          <w:i w:val="0"/>
          <w:color w:val="A61B1B"/>
          <w:sz w:val="28"/>
        </w:rPr>
        <w:t>1. Title of Case Study</w:t>
      </w:r>
    </w:p>
    <w:p>
      <w:pPr>
        <w:spacing w:after="140" w:line="276" w:lineRule="auto"/>
      </w:pPr>
      <w:r>
        <w:rPr>
          <w:rFonts w:ascii="Times New Roman" w:hAnsi="Times New Roman" w:eastAsia="Times New Roman"/>
          <w:b w:val="0"/>
          <w:i w:val="0"/>
          <w:color w:val="000000"/>
          <w:sz w:val="24"/>
        </w:rPr>
        <w:t>Scalable Music Recommendation System Using Big Data Technologies</w:t>
      </w:r>
    </w:p>
    <w:p>
      <w:pPr>
        <w:spacing w:after="140" w:line="276" w:lineRule="auto"/>
      </w:pPr>
      <w:r>
        <w:rPr>
          <w:rFonts w:ascii="Times New Roman" w:hAnsi="Times New Roman" w:eastAsia="Times New Roman"/>
          <w:b w:val="0"/>
          <w:i w:val="0"/>
          <w:color w:val="000000"/>
          <w:sz w:val="24"/>
        </w:rPr>
        <w:t>The case study presents a scalable music recommendation pipeline that converts a large Last.fm listening-history dataset into personalized item-based recommendations. The solution combines distributed storage, batch recommendation generation, metadata enrichment, API delivery, a dashboard, and a streaming analytics layer.</w:t>
      </w:r>
    </w:p>
    <w:p>
      <w:pPr>
        <w:keepNext/>
        <w:spacing w:before="240" w:after="100"/>
      </w:pPr>
      <w:r>
        <w:rPr>
          <w:rFonts w:ascii="Times New Roman" w:hAnsi="Times New Roman" w:eastAsia="Times New Roman"/>
          <w:b/>
          <w:i w:val="0"/>
          <w:color w:val="A61B1B"/>
          <w:sz w:val="28"/>
        </w:rPr>
        <w:t>2. Problem Statement and Objectives</w:t>
      </w:r>
    </w:p>
    <w:p>
      <w:pPr>
        <w:spacing w:after="140" w:line="276" w:lineRule="auto"/>
      </w:pPr>
      <w:r>
        <w:rPr>
          <w:rFonts w:ascii="Times New Roman" w:hAnsi="Times New Roman" w:eastAsia="Times New Roman"/>
          <w:b w:val="0"/>
          <w:i w:val="0"/>
          <w:color w:val="000000"/>
          <w:sz w:val="24"/>
        </w:rPr>
        <w:t>Music platforms collect large volumes of listening events. A useful recommendation system must process these events efficiently, preserve meaningful track metadata, and return recommendations in a form that a user can understand. A system that exposes only numeric item IDs is technically functional but not suitable for a user-facing demonstration. This project addresses both the scalability problem and the presentation problem.</w:t>
      </w:r>
    </w:p>
    <w:p>
      <w:pPr>
        <w:spacing w:after="140" w:line="276" w:lineRule="auto"/>
      </w:pPr>
      <w:r>
        <w:rPr>
          <w:rFonts w:ascii="Times New Roman" w:hAnsi="Times New Roman" w:eastAsia="Times New Roman"/>
          <w:b w:val="0"/>
          <w:i w:val="0"/>
          <w:color w:val="000000"/>
          <w:sz w:val="24"/>
        </w:rPr>
        <w:t>The main objectives are:</w:t>
      </w:r>
    </w:p>
    <w:p>
      <w:pPr>
        <w:pStyle w:val="ListBullet"/>
        <w:spacing w:after="60" w:line="259" w:lineRule="auto"/>
      </w:pPr>
      <w:r>
        <w:rPr>
          <w:rFonts w:ascii="Times New Roman" w:hAnsi="Times New Roman" w:eastAsia="Times New Roman"/>
          <w:b w:val="0"/>
          <w:i w:val="0"/>
          <w:color w:val="000000"/>
          <w:sz w:val="24"/>
        </w:rPr>
        <w:t>Prepare the Last.fm 1K event log without loading the complete raw file into memory.</w:t>
      </w:r>
    </w:p>
    <w:p>
      <w:pPr>
        <w:pStyle w:val="ListBullet"/>
        <w:spacing w:after="60" w:line="259" w:lineRule="auto"/>
      </w:pPr>
      <w:r>
        <w:rPr>
          <w:rFonts w:ascii="Times New Roman" w:hAnsi="Times New Roman" w:eastAsia="Times New Roman"/>
          <w:b w:val="0"/>
          <w:i w:val="0"/>
          <w:color w:val="000000"/>
          <w:sz w:val="24"/>
        </w:rPr>
        <w:t>Aggregate repeated listens into user-track interaction counts and create stable integer IDs for Mahout.</w:t>
      </w:r>
    </w:p>
    <w:p>
      <w:pPr>
        <w:pStyle w:val="ListBullet"/>
        <w:spacing w:after="60" w:line="259" w:lineRule="auto"/>
      </w:pPr>
      <w:r>
        <w:rPr>
          <w:rFonts w:ascii="Times New Roman" w:hAnsi="Times New Roman" w:eastAsia="Times New Roman"/>
          <w:b w:val="0"/>
          <w:i w:val="0"/>
          <w:color w:val="000000"/>
          <w:sz w:val="24"/>
        </w:rPr>
        <w:t>Design an HDFS cluster with three DataNodes and replication factor 3 for the target distributed deployment.</w:t>
      </w:r>
    </w:p>
    <w:p>
      <w:pPr>
        <w:pStyle w:val="ListBullet"/>
        <w:spacing w:after="60" w:line="259" w:lineRule="auto"/>
      </w:pPr>
      <w:r>
        <w:rPr>
          <w:rFonts w:ascii="Times New Roman" w:hAnsi="Times New Roman" w:eastAsia="Times New Roman"/>
          <w:b w:val="0"/>
          <w:i w:val="0"/>
          <w:color w:val="000000"/>
          <w:sz w:val="24"/>
        </w:rPr>
        <w:t>Generate top-10 personalized recommendations using Apache Mahout item-based collaborative filtering with log-likelihood similarity.</w:t>
      </w:r>
    </w:p>
    <w:p>
      <w:pPr>
        <w:pStyle w:val="ListBullet"/>
        <w:spacing w:after="60" w:line="259" w:lineRule="auto"/>
      </w:pPr>
      <w:r>
        <w:rPr>
          <w:rFonts w:ascii="Times New Roman" w:hAnsi="Times New Roman" w:eastAsia="Times New Roman"/>
          <w:b w:val="0"/>
          <w:i w:val="0"/>
          <w:color w:val="000000"/>
          <w:sz w:val="24"/>
        </w:rPr>
        <w:t>Use real artist and track-name metadata for content similarity and hybrid ranking without inventing genre or mood labels.</w:t>
      </w:r>
    </w:p>
    <w:p>
      <w:pPr>
        <w:pStyle w:val="ListBullet"/>
        <w:spacing w:after="60" w:line="259" w:lineRule="auto"/>
      </w:pPr>
      <w:r>
        <w:rPr>
          <w:rFonts w:ascii="Times New Roman" w:hAnsi="Times New Roman" w:eastAsia="Times New Roman"/>
          <w:b w:val="0"/>
          <w:i w:val="0"/>
          <w:color w:val="000000"/>
          <w:sz w:val="24"/>
        </w:rPr>
        <w:t>Join recommendation IDs with artist and track metadata so that the application displays meaningful music names.</w:t>
      </w:r>
    </w:p>
    <w:p>
      <w:pPr>
        <w:pStyle w:val="ListBullet"/>
        <w:spacing w:after="60" w:line="259" w:lineRule="auto"/>
      </w:pPr>
      <w:r>
        <w:rPr>
          <w:rFonts w:ascii="Times New Roman" w:hAnsi="Times New Roman" w:eastAsia="Times New Roman"/>
          <w:b w:val="0"/>
          <w:i w:val="0"/>
          <w:color w:val="000000"/>
          <w:sz w:val="24"/>
        </w:rPr>
        <w:t>Expose recommendations through FastAPI and present analytics and system status through Streamlit.</w:t>
      </w:r>
    </w:p>
    <w:p>
      <w:pPr>
        <w:keepNext/>
        <w:spacing w:before="240" w:after="100"/>
      </w:pPr>
      <w:r>
        <w:rPr>
          <w:rFonts w:ascii="Times New Roman" w:hAnsi="Times New Roman" w:eastAsia="Times New Roman"/>
          <w:b/>
          <w:i w:val="0"/>
          <w:color w:val="A61B1B"/>
          <w:sz w:val="28"/>
        </w:rPr>
        <w:t>3. Background and Introduction</w:t>
      </w:r>
    </w:p>
    <w:p>
      <w:pPr>
        <w:spacing w:after="140" w:line="276" w:lineRule="auto"/>
      </w:pPr>
      <w:r>
        <w:rPr>
          <w:rFonts w:ascii="Times New Roman" w:hAnsi="Times New Roman" w:eastAsia="Times New Roman"/>
          <w:b w:val="0"/>
          <w:i w:val="0"/>
          <w:color w:val="000000"/>
          <w:sz w:val="24"/>
        </w:rPr>
        <w:t>The project uses the Last.fm 1K dataset, which contains listening events collected through the Last.fm API for nearly one thousand users. Each event includes a user, timestamp, artist identifier, artist name, track identifier, and track name. Such data is naturally suited to collaborative filtering because a user’s repeated listening behavior provides implicit feedback about the tracks they prefer.</w:t>
      </w:r>
    </w:p>
    <w:p>
      <w:pPr>
        <w:spacing w:after="140" w:line="276" w:lineRule="auto"/>
      </w:pPr>
      <w:r>
        <w:rPr>
          <w:rFonts w:ascii="Times New Roman" w:hAnsi="Times New Roman" w:eastAsia="Times New Roman"/>
          <w:b w:val="0"/>
          <w:i w:val="0"/>
          <w:color w:val="000000"/>
          <w:sz w:val="24"/>
        </w:rPr>
        <w:t>The system follows a batch-first recommendation design. A preparation script converts the raw event stream into compact interaction and metadata files. Apache Mahout processes the user-item interaction matrix and produces recommendations. The application layer loads the recommendation output and enriches numeric item IDs with human-readable metadata. Apache Spark is also included for batch, medallion-style, and structured streaming analytics so the project demonstrates both recommendation processing and broader Big Data processing concepts.</w:t>
      </w:r>
    </w:p>
    <w:p>
      <w:pPr>
        <w:spacing w:after="140" w:line="276" w:lineRule="auto"/>
      </w:pPr>
      <w:r>
        <w:rPr>
          <w:rFonts w:ascii="Times New Roman" w:hAnsi="Times New Roman" w:eastAsia="Times New Roman"/>
          <w:b w:val="0"/>
          <w:i w:val="0"/>
          <w:color w:val="000000"/>
          <w:sz w:val="24"/>
        </w:rPr>
        <w:t>The final design separates storage, computation, serving, and presentation. This separation makes it possible to scale the processing layer independently from the user interface and to explain the role of each Big Data tool during project evaluation.</w:t>
      </w:r>
    </w:p>
    <w:p>
      <w:pPr>
        <w:keepNext/>
        <w:spacing w:before="240" w:after="100"/>
      </w:pPr>
      <w:r>
        <w:rPr>
          <w:rFonts w:ascii="Times New Roman" w:hAnsi="Times New Roman" w:eastAsia="Times New Roman"/>
          <w:b/>
          <w:i w:val="0"/>
          <w:color w:val="A61B1B"/>
          <w:sz w:val="28"/>
        </w:rPr>
        <w:t>4. Dataset Description</w:t>
      </w:r>
    </w:p>
    <w:p>
      <w:pPr>
        <w:spacing w:after="140" w:line="276" w:lineRule="auto"/>
      </w:pPr>
      <w:r>
        <w:rPr>
          <w:rFonts w:ascii="Times New Roman" w:hAnsi="Times New Roman" w:eastAsia="Times New Roman"/>
          <w:b w:val="0"/>
          <w:i w:val="0"/>
          <w:color w:val="000000"/>
          <w:sz w:val="24"/>
        </w:rPr>
        <w:t>The primary source is the Last.fm 1K dataset version 1.0. The raw event file is tab-separated and contains one listening event per line. The accompanying profile file contains user gender, age, country, and signup date when available. The dataset is provided for non-commercial use under the terms described by Last.fm.</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2232"/>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File or output</w:t>
            </w:r>
          </w:p>
        </w:tc>
        <w:tc>
          <w:tcPr>
            <w:tcW w:type="dxa" w:w="3960"/>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Important fields</w:t>
            </w:r>
          </w:p>
        </w:tc>
        <w:tc>
          <w:tcPr>
            <w:tcW w:type="dxa" w:w="3816"/>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Purpose</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Raw event TSV</w:t>
            </w:r>
          </w:p>
        </w:tc>
        <w:tc>
          <w:tcPr>
            <w:tcW w:type="dxa" w:w="39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user, timestamp, artist MBID, artist name, track MBID, track name</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Source listening history</w:t>
            </w:r>
          </w:p>
        </w:tc>
      </w:tr>
      <w:tr>
        <w:tc>
          <w:tcPr>
            <w:tcW w:type="dxa" w:w="2232"/>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User profile TSV</w:t>
            </w:r>
          </w:p>
        </w:tc>
        <w:tc>
          <w:tcPr>
            <w:tcW w:type="dxa" w:w="396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user, gender, age, country, signup</w:t>
            </w:r>
          </w:p>
        </w:tc>
        <w:tc>
          <w:tcPr>
            <w:tcW w:type="dxa" w:w="3816"/>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Optional user profile context</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train_triplets.txt</w:t>
            </w:r>
          </w:p>
        </w:tc>
        <w:tc>
          <w:tcPr>
            <w:tcW w:type="dxa" w:w="39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user key, track key, play count</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Readable aggregated interaction file</w:t>
            </w:r>
          </w:p>
        </w:tc>
      </w:tr>
      <w:tr>
        <w:tc>
          <w:tcPr>
            <w:tcW w:type="dxa" w:w="2232"/>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mahout_input.csv</w:t>
            </w:r>
          </w:p>
        </w:tc>
        <w:tc>
          <w:tcPr>
            <w:tcW w:type="dxa" w:w="396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integer user ID, integer item ID, count</w:t>
            </w:r>
          </w:p>
        </w:tc>
        <w:tc>
          <w:tcPr>
            <w:tcW w:type="dxa" w:w="3816"/>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Mahout recommendation input</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song_metadata.csv</w:t>
            </w:r>
          </w:p>
        </w:tc>
        <w:tc>
          <w:tcPr>
            <w:tcW w:type="dxa" w:w="39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item ID, artist, track, MBIDs, plays, listeners</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Human-readable catalog enrichment</w:t>
            </w:r>
          </w:p>
        </w:tc>
      </w:tr>
    </w:tbl>
    <w:p>
      <w:pPr>
        <w:spacing w:after="40"/>
      </w:pPr>
    </w:p>
    <w:p>
      <w:pPr>
        <w:spacing w:after="140" w:line="276" w:lineRule="auto"/>
      </w:pPr>
      <w:r>
        <w:rPr>
          <w:rFonts w:ascii="Times New Roman" w:hAnsi="Times New Roman" w:eastAsia="Times New Roman"/>
          <w:b w:val="0"/>
          <w:i w:val="0"/>
          <w:color w:val="000000"/>
          <w:sz w:val="24"/>
        </w:rPr>
        <w:t>The raw file contains 19,150,868 events and 992 unique users. The preparation process retained all valid events and produced 4,620,928 aggregated user-track interactions across 1,505,202 unique tracks. The conversion was intentionally implemented as a streaming process backed by SQLite so the 2.5 GB source file did not need to be held in memory.</w:t>
      </w:r>
    </w:p>
    <w:p>
      <w:pPr>
        <w:keepNext/>
        <w:spacing w:before="240" w:after="100"/>
      </w:pPr>
      <w:r>
        <w:rPr>
          <w:rFonts w:ascii="Times New Roman" w:hAnsi="Times New Roman" w:eastAsia="Times New Roman"/>
          <w:b/>
          <w:i w:val="0"/>
          <w:color w:val="A61B1B"/>
          <w:sz w:val="28"/>
        </w:rPr>
        <w:t>5. Methodology</w:t>
      </w:r>
    </w:p>
    <w:p>
      <w:pPr>
        <w:keepNext/>
        <w:jc w:val="center"/>
      </w:pPr>
      <w:r>
        <w:drawing>
          <wp:inline xmlns:a="http://schemas.openxmlformats.org/drawingml/2006/main" xmlns:pic="http://schemas.openxmlformats.org/drawingml/2006/picture">
            <wp:extent cx="6035040" cy="1772793"/>
            <wp:docPr id="1" name="Picture 1"/>
            <wp:cNvGraphicFramePr>
              <a:graphicFrameLocks noChangeAspect="1"/>
            </wp:cNvGraphicFramePr>
            <a:graphic>
              <a:graphicData uri="http://schemas.openxmlformats.org/drawingml/2006/picture">
                <pic:pic>
                  <pic:nvPicPr>
                    <pic:cNvPr id="0" name="methodology_workflow.png"/>
                    <pic:cNvPicPr/>
                  </pic:nvPicPr>
                  <pic:blipFill>
                    <a:blip r:embed="rId11"/>
                    <a:stretch>
                      <a:fillRect/>
                    </a:stretch>
                  </pic:blipFill>
                  <pic:spPr>
                    <a:xfrm>
                      <a:off x="0" y="0"/>
                      <a:ext cx="6035040" cy="1772793"/>
                    </a:xfrm>
                    <a:prstGeom prst="rect"/>
                  </pic:spPr>
                </pic:pic>
              </a:graphicData>
            </a:graphic>
          </wp:inline>
        </w:drawing>
      </w:r>
    </w:p>
    <w:p>
      <w:pPr>
        <w:spacing w:after="160" w:line="240" w:lineRule="auto"/>
        <w:jc w:val="center"/>
      </w:pPr>
      <w:r>
        <w:rPr>
          <w:rFonts w:ascii="Times New Roman" w:hAnsi="Times New Roman" w:eastAsia="Times New Roman"/>
          <w:b w:val="0"/>
          <w:i/>
          <w:color w:val="666666"/>
          <w:sz w:val="22"/>
        </w:rPr>
        <w:t>Figure 1  Methodology workflow from raw events to recommendations</w:t>
      </w:r>
    </w:p>
    <w:p>
      <w:pPr>
        <w:spacing w:after="140" w:line="276" w:lineRule="auto"/>
      </w:pPr>
      <w:r>
        <w:rPr>
          <w:rFonts w:ascii="Times New Roman" w:hAnsi="Times New Roman" w:eastAsia="Times New Roman"/>
          <w:b w:val="0"/>
          <w:i w:val="0"/>
          <w:color w:val="000000"/>
          <w:sz w:val="24"/>
        </w:rPr>
        <w:t>The methodology is organized into seven stages:</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1656"/>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Stage</w:t>
            </w:r>
          </w:p>
        </w:tc>
        <w:tc>
          <w:tcPr>
            <w:tcW w:type="dxa" w:w="5184"/>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Activity</w:t>
            </w:r>
          </w:p>
        </w:tc>
        <w:tc>
          <w:tcPr>
            <w:tcW w:type="dxa" w:w="3168"/>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Produced artifact</w:t>
            </w:r>
          </w:p>
        </w:tc>
      </w:tr>
      <w:tr>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1. Ingest</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Read the raw tab-separated event log line by line.</w:t>
            </w:r>
          </w:p>
        </w:tc>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Validated raw event stream</w:t>
            </w:r>
          </w:p>
        </w:tc>
      </w:tr>
      <w:tr>
        <w:tc>
          <w:tcPr>
            <w:tcW w:type="dxa" w:w="1656"/>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2. Aggregate</w:t>
            </w:r>
          </w:p>
        </w:tc>
        <w:tc>
          <w:tcPr>
            <w:tcW w:type="dxa" w:w="5184"/>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Count repeated listens for every user and track pair.</w:t>
            </w:r>
          </w:p>
        </w:tc>
        <w:tc>
          <w:tcPr>
            <w:tcW w:type="dxa" w:w="3168"/>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4,620,928 compact interactions</w:t>
            </w:r>
          </w:p>
        </w:tc>
      </w:tr>
      <w:tr>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3. Map</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Assign stable integer IDs to users and tracks.</w:t>
            </w:r>
          </w:p>
        </w:tc>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User and song mapping files</w:t>
            </w:r>
          </w:p>
        </w:tc>
      </w:tr>
      <w:tr>
        <w:tc>
          <w:tcPr>
            <w:tcW w:type="dxa" w:w="1656"/>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4. Enrich</w:t>
            </w:r>
          </w:p>
        </w:tc>
        <w:tc>
          <w:tcPr>
            <w:tcW w:type="dxa" w:w="5184"/>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Preserve artist, track, MBID, play and listener metadata.</w:t>
            </w:r>
          </w:p>
        </w:tc>
        <w:tc>
          <w:tcPr>
            <w:tcW w:type="dxa" w:w="3168"/>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Song catalog</w:t>
            </w:r>
          </w:p>
        </w:tc>
      </w:tr>
      <w:tr>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5. Store</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Place Mahout input and outputs in HDFS paths.</w:t>
            </w:r>
          </w:p>
        </w:tc>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Distributed data layout</w:t>
            </w:r>
          </w:p>
        </w:tc>
      </w:tr>
      <w:tr>
        <w:tc>
          <w:tcPr>
            <w:tcW w:type="dxa" w:w="1656"/>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6. Recommend</w:t>
            </w:r>
          </w:p>
        </w:tc>
        <w:tc>
          <w:tcPr>
            <w:tcW w:type="dxa" w:w="5184"/>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Run Mahout item-based collaborative filtering.</w:t>
            </w:r>
          </w:p>
        </w:tc>
        <w:tc>
          <w:tcPr>
            <w:tcW w:type="dxa" w:w="3168"/>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Top-10 recommendations</w:t>
            </w:r>
          </w:p>
        </w:tc>
      </w:tr>
      <w:tr>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7. Serve</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Load results through FastAPI and display them in Streamlit.</w:t>
            </w:r>
          </w:p>
        </w:tc>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Interactive application</w:t>
            </w:r>
          </w:p>
        </w:tc>
      </w:tr>
    </w:tbl>
    <w:p>
      <w:pPr>
        <w:spacing w:after="40"/>
      </w:pPr>
    </w:p>
    <w:p>
      <w:pPr>
        <w:spacing w:after="140" w:line="276" w:lineRule="auto"/>
      </w:pPr>
      <w:r>
        <w:rPr>
          <w:rFonts w:ascii="Times New Roman" w:hAnsi="Times New Roman" w:eastAsia="Times New Roman"/>
          <w:b w:val="0"/>
          <w:i w:val="0"/>
          <w:color w:val="000000"/>
          <w:sz w:val="24"/>
        </w:rPr>
        <w:t>The project also includes a Spark Structured Streaming path for JSON events. The streaming process validates event schemas, computes live statistics, and writes Bronze, Silver, and Gold Parquet outputs. This provides a real-time analytics extension to the offline recommendation workflow.</w:t>
      </w:r>
    </w:p>
    <w:p>
      <w:pPr>
        <w:keepNext/>
        <w:spacing w:before="240" w:after="100"/>
      </w:pPr>
      <w:r>
        <w:rPr>
          <w:rFonts w:ascii="Times New Roman" w:hAnsi="Times New Roman" w:eastAsia="Times New Roman"/>
          <w:b/>
          <w:i w:val="0"/>
          <w:color w:val="A61B1B"/>
          <w:sz w:val="28"/>
        </w:rPr>
        <w:t>6. System Architecture and Workflow</w:t>
      </w:r>
    </w:p>
    <w:p>
      <w:pPr>
        <w:keepNext/>
        <w:jc w:val="center"/>
      </w:pPr>
      <w:r>
        <w:drawing>
          <wp:inline xmlns:a="http://schemas.openxmlformats.org/drawingml/2006/main" xmlns:pic="http://schemas.openxmlformats.org/drawingml/2006/picture">
            <wp:extent cx="6080760" cy="3310636"/>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6080760" cy="3310636"/>
                    </a:xfrm>
                    <a:prstGeom prst="rect"/>
                  </pic:spPr>
                </pic:pic>
              </a:graphicData>
            </a:graphic>
          </wp:inline>
        </w:drawing>
      </w:r>
    </w:p>
    <w:p>
      <w:pPr>
        <w:spacing w:after="160" w:line="240" w:lineRule="auto"/>
        <w:jc w:val="center"/>
      </w:pPr>
      <w:r>
        <w:rPr>
          <w:rFonts w:ascii="Times New Roman" w:hAnsi="Times New Roman" w:eastAsia="Times New Roman"/>
          <w:b w:val="0"/>
          <w:i/>
          <w:color w:val="666666"/>
          <w:sz w:val="22"/>
        </w:rPr>
        <w:t>Figure 2  Target distributed architecture with three HDFS replica locations</w:t>
      </w:r>
    </w:p>
    <w:p>
      <w:pPr>
        <w:spacing w:after="140" w:line="276" w:lineRule="auto"/>
      </w:pPr>
      <w:r>
        <w:rPr>
          <w:rFonts w:ascii="Times New Roman" w:hAnsi="Times New Roman" w:eastAsia="Times New Roman"/>
          <w:b w:val="0"/>
          <w:i w:val="0"/>
          <w:color w:val="000000"/>
          <w:sz w:val="24"/>
        </w:rPr>
        <w:t>The target Docker Compose topology contains a NameNode, a YARN ResourceManager, three HDFS DataNodes, three YARN NodeManagers, a Spark master, three Spark workers, MongoDB, FastAPI, and Streamlit. The DataNodes are h-worker1, h-worker2, and h-worker3. The HDFS configuration sets the default replication factor to 3 so a block can be stored on all three worker nodes.</w:t>
      </w:r>
    </w:p>
    <w:p>
      <w:pPr>
        <w:spacing w:after="140" w:line="276" w:lineRule="auto"/>
      </w:pPr>
      <w:r>
        <w:rPr>
          <w:rFonts w:ascii="Times New Roman" w:hAnsi="Times New Roman" w:eastAsia="Times New Roman"/>
          <w:b w:val="0"/>
          <w:i w:val="0"/>
          <w:color w:val="000000"/>
          <w:sz w:val="24"/>
        </w:rPr>
        <w:t>For a local college demonstration, these nodes are separate Docker containers on one physical computer. This demonstrates distributed roles and replica configuration, but it does not provide hardware-level fault isolation. A production cloud version could place the master role on one virtual machine and the three DataNodes on three separate worker virtual machines. Creating three additional complete application stacks is unnecessary; only the worker services are added for the HDFS and Spark cluster.</w:t>
      </w:r>
    </w:p>
    <w:p>
      <w:pPr>
        <w:spacing w:after="140" w:line="276" w:lineRule="auto"/>
      </w:pPr>
      <w:r>
        <w:rPr>
          <w:rFonts w:ascii="Times New Roman" w:hAnsi="Times New Roman" w:eastAsia="Times New Roman"/>
          <w:b w:val="0"/>
          <w:i w:val="0"/>
          <w:color w:val="000000"/>
          <w:sz w:val="24"/>
        </w:rPr>
        <w:t>The normal workflow is: Last.fm data is prepared locally, the Mahout input is uploaded to HDFS, Mahout generates recommendations, recommendation output is copied to the application output directory, FastAPI loads the output and metadata, and Streamlit calls the API to display recommendations and operational statistics.</w:t>
      </w:r>
    </w:p>
    <w:p>
      <w:pPr>
        <w:keepNext/>
        <w:spacing w:before="240" w:after="100"/>
      </w:pPr>
      <w:r>
        <w:rPr>
          <w:rFonts w:ascii="Times New Roman" w:hAnsi="Times New Roman" w:eastAsia="Times New Roman"/>
          <w:b/>
          <w:i w:val="0"/>
          <w:color w:val="A61B1B"/>
          <w:sz w:val="28"/>
        </w:rPr>
        <w:t>7. Big Data Tools and Technologies Used</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2160"/>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Technology</w:t>
            </w:r>
          </w:p>
        </w:tc>
        <w:tc>
          <w:tcPr>
            <w:tcW w:type="dxa" w:w="4320"/>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Role in the project</w:t>
            </w:r>
          </w:p>
        </w:tc>
        <w:tc>
          <w:tcPr>
            <w:tcW w:type="dxa" w:w="3528"/>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Reason for use</w:t>
            </w:r>
          </w:p>
        </w:tc>
      </w:tr>
      <w:tr>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Docker Compose</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Defines reproducible services and cluster roles.</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Makes the local distributed demonstration repeatable.</w:t>
            </w:r>
          </w:p>
        </w:tc>
      </w:tr>
      <w:tr>
        <w:tc>
          <w:tcPr>
            <w:tcW w:type="dxa" w:w="216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Hadoop HDFS</w:t>
            </w:r>
          </w:p>
        </w:tc>
        <w:tc>
          <w:tcPr>
            <w:tcW w:type="dxa" w:w="432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Stores input and output files across DataNodes.</w:t>
            </w:r>
          </w:p>
        </w:tc>
        <w:tc>
          <w:tcPr>
            <w:tcW w:type="dxa" w:w="3528"/>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Provides distributed storage and configurable replication.</w:t>
            </w:r>
          </w:p>
        </w:tc>
      </w:tr>
      <w:tr>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YARN</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Provides cluster resource-management roles.</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Represents the standard Hadoop execution layer.</w:t>
            </w:r>
          </w:p>
        </w:tc>
      </w:tr>
      <w:tr>
        <w:tc>
          <w:tcPr>
            <w:tcW w:type="dxa" w:w="216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Apache Mahout 0.13.0</w:t>
            </w:r>
          </w:p>
        </w:tc>
        <w:tc>
          <w:tcPr>
            <w:tcW w:type="dxa" w:w="432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Runs item-based collaborative filtering.</w:t>
            </w:r>
          </w:p>
        </w:tc>
        <w:tc>
          <w:tcPr>
            <w:tcW w:type="dxa" w:w="3528"/>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Scales recommendation generation using a mature Big Data algorithm.</w:t>
            </w:r>
          </w:p>
        </w:tc>
      </w:tr>
      <w:tr>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Apache Spark 3.5.9</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Batch, medallion, and streaming analytics.</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Supports scalable transformations and live event processing.</w:t>
            </w:r>
          </w:p>
        </w:tc>
      </w:tr>
      <w:tr>
        <w:tc>
          <w:tcPr>
            <w:tcW w:type="dxa" w:w="216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Python and SQLite</w:t>
            </w:r>
          </w:p>
        </w:tc>
        <w:tc>
          <w:tcPr>
            <w:tcW w:type="dxa" w:w="432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Streams, aggregates, and maps source events.</w:t>
            </w:r>
          </w:p>
        </w:tc>
        <w:tc>
          <w:tcPr>
            <w:tcW w:type="dxa" w:w="3528"/>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Avoids loading the raw dataset into memory.</w:t>
            </w:r>
          </w:p>
        </w:tc>
      </w:tr>
      <w:tr>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FastAPI</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Provides REST endpoints for recommendations and catalog data.</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Offers a lightweight typed serving layer.</w:t>
            </w:r>
          </w:p>
        </w:tc>
      </w:tr>
      <w:tr>
        <w:tc>
          <w:tcPr>
            <w:tcW w:type="dxa" w:w="216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Streamlit</w:t>
            </w:r>
          </w:p>
        </w:tc>
        <w:tc>
          <w:tcPr>
            <w:tcW w:type="dxa" w:w="432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Provides the interactive dashboard.</w:t>
            </w:r>
          </w:p>
        </w:tc>
        <w:tc>
          <w:tcPr>
            <w:tcW w:type="dxa" w:w="3528"/>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Makes results easy to inspect during a demonstration.</w:t>
            </w:r>
          </w:p>
        </w:tc>
      </w:tr>
      <w:tr>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MongoDB</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Stores application events and analytics statistics.</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Provides document-oriented persistence for operational data.</w:t>
            </w:r>
          </w:p>
        </w:tc>
      </w:tr>
    </w:tbl>
    <w:p>
      <w:pPr>
        <w:spacing w:after="40"/>
      </w:pPr>
    </w:p>
    <w:p>
      <w:pPr>
        <w:keepNext/>
        <w:spacing w:before="240" w:after="100"/>
      </w:pPr>
      <w:r>
        <w:rPr>
          <w:rFonts w:ascii="Times New Roman" w:hAnsi="Times New Roman" w:eastAsia="Times New Roman"/>
          <w:b/>
          <w:i w:val="0"/>
          <w:color w:val="A61B1B"/>
          <w:sz w:val="28"/>
        </w:rPr>
        <w:t>8. Implementation Queries and Algorithms</w:t>
      </w:r>
    </w:p>
    <w:p>
      <w:pPr>
        <w:keepNext/>
        <w:spacing w:before="140" w:after="100"/>
      </w:pPr>
      <w:r>
        <w:rPr>
          <w:rFonts w:ascii="Times New Roman" w:hAnsi="Times New Roman" w:eastAsia="Times New Roman"/>
          <w:b/>
          <w:i w:val="0"/>
          <w:color w:val="A61B1B"/>
          <w:sz w:val="28"/>
        </w:rPr>
        <w:t>8.1. Data Preparation Algorithm</w:t>
      </w:r>
    </w:p>
    <w:p>
      <w:pPr>
        <w:spacing w:after="140" w:line="276" w:lineRule="auto"/>
      </w:pPr>
      <w:r>
        <w:rPr>
          <w:rFonts w:ascii="Times New Roman" w:hAnsi="Times New Roman" w:eastAsia="Times New Roman"/>
          <w:b w:val="0"/>
          <w:i w:val="0"/>
          <w:color w:val="000000"/>
          <w:sz w:val="24"/>
        </w:rPr>
        <w:t>The preparation script uses a streaming parser and SQLite upserts. The logical operation is equivalent to the following query:</w:t>
      </w:r>
    </w:p>
    <w:p>
      <w:pPr>
        <w:spacing w:after="0" w:line="240" w:lineRule="auto"/>
        <w:ind w:left="432"/>
      </w:pPr>
      <w:r>
        <w:rPr>
          <w:rFonts w:ascii="Consolas" w:hAnsi="Consolas" w:eastAsia="Consolas"/>
          <w:b w:val="0"/>
          <w:i w:val="0"/>
          <w:color w:val="333333"/>
          <w:sz w:val="20"/>
        </w:rPr>
        <w:t>INSERT INTO interactions(user_key, track_key, play_count)</w:t>
      </w:r>
    </w:p>
    <w:p>
      <w:pPr>
        <w:spacing w:after="0" w:line="240" w:lineRule="auto"/>
        <w:ind w:left="432"/>
      </w:pPr>
      <w:r>
        <w:rPr>
          <w:rFonts w:ascii="Consolas" w:hAnsi="Consolas" w:eastAsia="Consolas"/>
          <w:b w:val="0"/>
          <w:i w:val="0"/>
          <w:color w:val="333333"/>
          <w:sz w:val="20"/>
        </w:rPr>
        <w:t>VALUES (?, ?, ?)</w:t>
      </w:r>
    </w:p>
    <w:p>
      <w:pPr>
        <w:spacing w:after="0" w:line="240" w:lineRule="auto"/>
        <w:ind w:left="432"/>
      </w:pPr>
      <w:r>
        <w:rPr>
          <w:rFonts w:ascii="Consolas" w:hAnsi="Consolas" w:eastAsia="Consolas"/>
          <w:b w:val="0"/>
          <w:i w:val="0"/>
          <w:color w:val="333333"/>
          <w:sz w:val="20"/>
        </w:rPr>
        <w:t>ON CONFLICT(user_key, track_key)</w:t>
      </w:r>
    </w:p>
    <w:p>
      <w:pPr>
        <w:spacing w:after="0" w:line="240" w:lineRule="auto"/>
        <w:ind w:left="432"/>
      </w:pPr>
      <w:r>
        <w:rPr>
          <w:rFonts w:ascii="Consolas" w:hAnsi="Consolas" w:eastAsia="Consolas"/>
          <w:b w:val="0"/>
          <w:i w:val="0"/>
          <w:color w:val="333333"/>
          <w:sz w:val="20"/>
        </w:rPr>
        <w:t>DO UPDATE SET play_count = play_count + excluded.play_count;</w:t>
      </w:r>
    </w:p>
    <w:p>
      <w:pPr>
        <w:spacing w:after="140" w:line="276" w:lineRule="auto"/>
      </w:pPr>
      <w:r>
        <w:rPr>
          <w:rFonts w:ascii="Times New Roman" w:hAnsi="Times New Roman" w:eastAsia="Times New Roman"/>
          <w:b w:val="0"/>
          <w:i w:val="0"/>
          <w:color w:val="000000"/>
          <w:sz w:val="24"/>
        </w:rPr>
        <w:t>After aggregation, users and tracks are ordered and assigned integer IDs. Mahout receives rows in the form user ID, item ID, play count. The metadata catalog retains the original artist and track names, allowing the API to translate recommendation IDs back into readable results.</w:t>
      </w:r>
    </w:p>
    <w:p>
      <w:pPr>
        <w:keepNext/>
        <w:spacing w:before="140" w:after="100"/>
      </w:pPr>
      <w:r>
        <w:rPr>
          <w:rFonts w:ascii="Times New Roman" w:hAnsi="Times New Roman" w:eastAsia="Times New Roman"/>
          <w:b/>
          <w:i w:val="0"/>
          <w:color w:val="A61B1B"/>
          <w:sz w:val="28"/>
        </w:rPr>
        <w:t>8.2. Recommendation Algorithm</w:t>
      </w:r>
    </w:p>
    <w:p>
      <w:pPr>
        <w:spacing w:after="140" w:line="276" w:lineRule="auto"/>
      </w:pPr>
      <w:r>
        <w:rPr>
          <w:rFonts w:ascii="Times New Roman" w:hAnsi="Times New Roman" w:eastAsia="Times New Roman"/>
          <w:b w:val="0"/>
          <w:i w:val="0"/>
          <w:color w:val="000000"/>
          <w:sz w:val="24"/>
        </w:rPr>
        <w:t>Apache Mahout runs item-based collaborative filtering. It compares items using log-likelihood similarity derived from co-occurrence patterns in user histories. For each user, items already consumed are considered and a ranked list of unseen items is produced. The configured recommendation count is 10 items per user.</w:t>
      </w:r>
    </w:p>
    <w:p>
      <w:pPr>
        <w:spacing w:after="140" w:line="276" w:lineRule="auto"/>
      </w:pPr>
      <w:r>
        <w:rPr>
          <w:rFonts w:ascii="Times New Roman" w:hAnsi="Times New Roman" w:eastAsia="Times New Roman"/>
          <w:b w:val="0"/>
          <w:i w:val="0"/>
          <w:color w:val="000000"/>
          <w:sz w:val="24"/>
        </w:rPr>
        <w:t>The content-based path uses the available Last.fm artist and track-name metadata. It tokenizes the text fields, finds candidate tracks sharing artist or title terms, and scores them with a normalized content similarity. Hybrid ranking uses normalized Mahout score, content similarity when metadata is available, and popularity. If metadata is unavailable, the service documents and uses behavioral co-occurrence as a fallback.</w:t>
      </w:r>
    </w:p>
    <w:p>
      <w:pPr>
        <w:spacing w:after="0" w:line="240" w:lineRule="auto"/>
        <w:ind w:left="432"/>
      </w:pPr>
      <w:r>
        <w:rPr>
          <w:rFonts w:ascii="Consolas" w:hAnsi="Consolas" w:eastAsia="Consolas"/>
          <w:b w:val="0"/>
          <w:i w:val="0"/>
          <w:color w:val="333333"/>
          <w:sz w:val="20"/>
        </w:rPr>
        <w:t>mahout recommenditembased \</w:t>
      </w:r>
    </w:p>
    <w:p>
      <w:pPr>
        <w:spacing w:after="0" w:line="240" w:lineRule="auto"/>
        <w:ind w:left="432"/>
      </w:pPr>
      <w:r>
        <w:rPr>
          <w:rFonts w:ascii="Consolas" w:hAnsi="Consolas" w:eastAsia="Consolas"/>
          <w:b w:val="0"/>
          <w:i w:val="0"/>
          <w:color w:val="333333"/>
          <w:sz w:val="20"/>
        </w:rPr>
        <w:t>+  --input /music/lastfm/mahout/input/mahout_input.csv \</w:t>
      </w:r>
    </w:p>
    <w:p>
      <w:pPr>
        <w:spacing w:after="0" w:line="240" w:lineRule="auto"/>
        <w:ind w:left="432"/>
      </w:pPr>
      <w:r>
        <w:rPr>
          <w:rFonts w:ascii="Consolas" w:hAnsi="Consolas" w:eastAsia="Consolas"/>
          <w:b w:val="0"/>
          <w:i w:val="0"/>
          <w:color w:val="333333"/>
          <w:sz w:val="20"/>
        </w:rPr>
        <w:t>+  --output /music/lastfm/mahout/output \</w:t>
      </w:r>
    </w:p>
    <w:p>
      <w:pPr>
        <w:spacing w:after="0" w:line="240" w:lineRule="auto"/>
        <w:ind w:left="432"/>
      </w:pPr>
      <w:r>
        <w:rPr>
          <w:rFonts w:ascii="Consolas" w:hAnsi="Consolas" w:eastAsia="Consolas"/>
          <w:b w:val="0"/>
          <w:i w:val="0"/>
          <w:color w:val="333333"/>
          <w:sz w:val="20"/>
        </w:rPr>
        <w:t>+  --similarityClassname SIMILARITY_LOGLIKELIHOOD \</w:t>
      </w:r>
    </w:p>
    <w:p>
      <w:pPr>
        <w:spacing w:after="0" w:line="240" w:lineRule="auto"/>
        <w:ind w:left="432"/>
      </w:pPr>
      <w:r>
        <w:rPr>
          <w:rFonts w:ascii="Consolas" w:hAnsi="Consolas" w:eastAsia="Consolas"/>
          <w:b w:val="0"/>
          <w:i w:val="0"/>
          <w:color w:val="333333"/>
          <w:sz w:val="20"/>
        </w:rPr>
        <w:t>+  --numRecommendations 10</w:t>
      </w:r>
    </w:p>
    <w:p>
      <w:pPr>
        <w:keepNext/>
        <w:spacing w:before="140" w:after="100"/>
      </w:pPr>
      <w:r>
        <w:rPr>
          <w:rFonts w:ascii="Times New Roman" w:hAnsi="Times New Roman" w:eastAsia="Times New Roman"/>
          <w:b/>
          <w:i w:val="0"/>
          <w:color w:val="A61B1B"/>
          <w:sz w:val="28"/>
        </w:rPr>
        <w:t>8.3. Application Endpoints</w:t>
      </w:r>
    </w:p>
    <w:tbl>
      <w:tblPr>
        <w:tblW w:type="auto" w:w="0"/>
        <w:jc w:val="center"/>
        <w:tblLayout w:type="fixed"/>
        <w:tblLook w:firstColumn="1" w:firstRow="1" w:lastColumn="0" w:lastRow="0" w:noHBand="0" w:noVBand="1" w:val="04A0"/>
      </w:tblPr>
      <w:tblGrid>
        <w:gridCol w:w="4968"/>
        <w:gridCol w:w="4968"/>
      </w:tblGrid>
      <w:tr>
        <w:trPr>
          <w:tblHeader/>
        </w:trPr>
        <w:tc>
          <w:tcPr>
            <w:tcW w:type="dxa" w:w="3168"/>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Endpoint</w:t>
            </w:r>
          </w:p>
        </w:tc>
        <w:tc>
          <w:tcPr>
            <w:tcW w:type="dxa" w:w="6840"/>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Function</w:t>
            </w:r>
          </w:p>
        </w:tc>
      </w:tr>
      <w:t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GET /health</w:t>
            </w:r>
          </w:p>
        </w:tc>
        <w:tc>
          <w:tcPr>
            <w:tcW w:type="dxa" w:w="6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Reports service status, catalog size, interaction count and recommendation coverage.</w:t>
            </w:r>
          </w:p>
        </w:tc>
      </w:tr>
      <w:tr>
        <w:tc>
          <w:tcPr>
            <w:tcW w:type="dxa" w:w="3168"/>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GET /recommend/{user_id}</w:t>
            </w:r>
          </w:p>
        </w:tc>
        <w:tc>
          <w:tcPr>
            <w:tcW w:type="dxa" w:w="684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Returns personalized recommendations with track and artist metadata.</w:t>
            </w:r>
          </w:p>
        </w:tc>
      </w:tr>
      <w:t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GET /similar/{song_id}</w:t>
            </w:r>
          </w:p>
        </w:tc>
        <w:tc>
          <w:tcPr>
            <w:tcW w:type="dxa" w:w="6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Returns similar items from the recommendation service.</w:t>
            </w:r>
          </w:p>
        </w:tc>
      </w:tr>
      <w:tr>
        <w:tc>
          <w:tcPr>
            <w:tcW w:type="dxa" w:w="3168"/>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GET /songs/{song_id}</w:t>
            </w:r>
          </w:p>
        </w:tc>
        <w:tc>
          <w:tcPr>
            <w:tcW w:type="dxa" w:w="684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Returns catalog metadata for one item.</w:t>
            </w:r>
          </w:p>
        </w:tc>
      </w:tr>
      <w:t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GET /user/{user_id}/history</w:t>
            </w:r>
          </w:p>
        </w:tc>
        <w:tc>
          <w:tcPr>
            <w:tcW w:type="dxa" w:w="6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Returns a user listening history view.</w:t>
            </w:r>
          </w:p>
        </w:tc>
      </w:tr>
      <w:tr>
        <w:tc>
          <w:tcPr>
            <w:tcW w:type="dxa" w:w="3168"/>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GET /live/stats</w:t>
            </w:r>
          </w:p>
        </w:tc>
        <w:tc>
          <w:tcPr>
            <w:tcW w:type="dxa" w:w="684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Returns streaming activity and live processing statistics.</w:t>
            </w:r>
          </w:p>
        </w:tc>
      </w:tr>
    </w:tbl>
    <w:p>
      <w:pPr>
        <w:spacing w:after="40"/>
      </w:pPr>
    </w:p>
    <w:p>
      <w:pPr>
        <w:keepNext/>
        <w:spacing w:before="240" w:after="100"/>
      </w:pPr>
      <w:r>
        <w:rPr>
          <w:rFonts w:ascii="Times New Roman" w:hAnsi="Times New Roman" w:eastAsia="Times New Roman"/>
          <w:b/>
          <w:i w:val="0"/>
          <w:color w:val="A61B1B"/>
          <w:sz w:val="28"/>
        </w:rPr>
        <w:t>9. Analysis and Results</w:t>
      </w:r>
    </w:p>
    <w:p>
      <w:pPr>
        <w:spacing w:after="140" w:line="276" w:lineRule="auto"/>
      </w:pPr>
      <w:r>
        <w:rPr>
          <w:rFonts w:ascii="Times New Roman" w:hAnsi="Times New Roman" w:eastAsia="Times New Roman"/>
          <w:b w:val="0"/>
          <w:i w:val="0"/>
          <w:color w:val="000000"/>
          <w:sz w:val="24"/>
        </w:rPr>
        <w:t>The preparation and recommendation stages produced the following measured results:</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3240"/>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Metric</w:t>
            </w:r>
          </w:p>
        </w:tc>
        <w:tc>
          <w:tcPr>
            <w:tcW w:type="dxa" w:w="2232"/>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Result</w:t>
            </w:r>
          </w:p>
        </w:tc>
        <w:tc>
          <w:tcPr>
            <w:tcW w:type="dxa" w:w="4536"/>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Interpretation</w:t>
            </w:r>
          </w:p>
        </w:tc>
      </w:tr>
      <w:tr>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Raw listening events</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19,150,868</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Scale of the original Last.fm event log</w:t>
            </w:r>
          </w:p>
        </w:tc>
      </w:tr>
      <w:tr>
        <w:tc>
          <w:tcPr>
            <w:tcW w:type="dxa" w:w="324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Valid events retained</w:t>
            </w:r>
          </w:p>
        </w:tc>
        <w:tc>
          <w:tcPr>
            <w:tcW w:type="dxa" w:w="2232"/>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19,150,868</w:t>
            </w:r>
          </w:p>
        </w:tc>
        <w:tc>
          <w:tcPr>
            <w:tcW w:type="dxa" w:w="4536"/>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No invalid rows were removed during conversion</w:t>
            </w:r>
          </w:p>
        </w:tc>
      </w:tr>
      <w:tr>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Unique users</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992</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User population represented in the interactions</w:t>
            </w:r>
          </w:p>
        </w:tc>
      </w:tr>
      <w:tr>
        <w:tc>
          <w:tcPr>
            <w:tcW w:type="dxa" w:w="324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Unique tracks</w:t>
            </w:r>
          </w:p>
        </w:tc>
        <w:tc>
          <w:tcPr>
            <w:tcW w:type="dxa" w:w="2232"/>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1,505,202</w:t>
            </w:r>
          </w:p>
        </w:tc>
        <w:tc>
          <w:tcPr>
            <w:tcW w:type="dxa" w:w="4536"/>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Catalog size after MBID/name-based identity resolution</w:t>
            </w:r>
          </w:p>
        </w:tc>
      </w:tr>
      <w:tr>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Aggregated interactions</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4,620,928</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Compact user-track play-count matrix</w:t>
            </w:r>
          </w:p>
        </w:tc>
      </w:tr>
      <w:tr>
        <w:tc>
          <w:tcPr>
            <w:tcW w:type="dxa" w:w="324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Mahout recommendation records</w:t>
            </w:r>
          </w:p>
        </w:tc>
        <w:tc>
          <w:tcPr>
            <w:tcW w:type="dxa" w:w="2232"/>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874 users</w:t>
            </w:r>
          </w:p>
        </w:tc>
        <w:tc>
          <w:tcPr>
            <w:tcW w:type="dxa" w:w="4536"/>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Users for whom the batch produced recommendations</w:t>
            </w:r>
          </w:p>
        </w:tc>
      </w:tr>
      <w:tr>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Recommendations per user</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10</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Configured top-N result size</w:t>
            </w:r>
          </w:p>
        </w:tc>
      </w:tr>
      <w:tr>
        <w:tc>
          <w:tcPr>
            <w:tcW w:type="dxa" w:w="324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Mahout output file</w:t>
            </w:r>
          </w:p>
        </w:tc>
        <w:tc>
          <w:tcPr>
            <w:tcW w:type="dxa" w:w="2232"/>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135,133 bytes</w:t>
            </w:r>
          </w:p>
        </w:tc>
        <w:tc>
          <w:tcPr>
            <w:tcW w:type="dxa" w:w="4536"/>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Generated part-r-00000 recommendation output</w:t>
            </w:r>
          </w:p>
        </w:tc>
      </w:tr>
    </w:tbl>
    <w:p>
      <w:pPr>
        <w:spacing w:after="40"/>
      </w:pPr>
    </w:p>
    <w:p>
      <w:pPr>
        <w:spacing w:after="140" w:line="276" w:lineRule="auto"/>
      </w:pPr>
      <w:r>
        <w:rPr>
          <w:rFonts w:ascii="Times New Roman" w:hAnsi="Times New Roman" w:eastAsia="Times New Roman"/>
          <w:b w:val="0"/>
          <w:i w:val="0"/>
          <w:color w:val="000000"/>
          <w:sz w:val="24"/>
        </w:rPr>
        <w:t>The batch job completed successfully with Apache Mahout and processed 4,620,928 interaction records. The API smoke test reported 1,505,202 catalog items, 4,620,928 interactions, and 874 users with active recommendation output. A sample request for internal user 3143 returned readable metadata instead of only numeric IDs.</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1440"/>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Item ID</w:t>
            </w:r>
          </w:p>
        </w:tc>
        <w:tc>
          <w:tcPr>
            <w:tcW w:type="dxa" w:w="3672"/>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Track</w:t>
            </w:r>
          </w:p>
        </w:tc>
        <w:tc>
          <w:tcPr>
            <w:tcW w:type="dxa" w:w="3816"/>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Artist</w:t>
            </w:r>
          </w:p>
        </w:tc>
        <w:tc>
          <w:tcPr>
            <w:tcW w:type="dxa" w:w="1080"/>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Score</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165560</w:t>
            </w:r>
          </w:p>
        </w:tc>
        <w:tc>
          <w:tcPr>
            <w:tcW w:type="dxa" w:w="36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Just In The Nick Of Rhyme</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Common</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66.52203</w:t>
            </w:r>
          </w:p>
        </w:tc>
      </w:tr>
      <w:tr>
        <w:tc>
          <w:tcPr>
            <w:tcW w:type="dxa" w:w="144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341196</w:t>
            </w:r>
          </w:p>
        </w:tc>
        <w:tc>
          <w:tcPr>
            <w:tcW w:type="dxa" w:w="3672"/>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Africa</w:t>
            </w:r>
          </w:p>
        </w:tc>
        <w:tc>
          <w:tcPr>
            <w:tcW w:type="dxa" w:w="3816"/>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D'Angelo</w:t>
            </w:r>
          </w:p>
        </w:tc>
        <w:tc>
          <w:tcPr>
            <w:tcW w:type="dxa" w:w="1080"/>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66.52203</w:t>
            </w:r>
          </w:p>
        </w:tc>
      </w:tr>
      <w:tr>
        <w:tc>
          <w:tcPr>
            <w:tcW w:type="dxa" w:w="14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317548</w:t>
            </w:r>
          </w:p>
        </w:tc>
        <w:tc>
          <w:tcPr>
            <w:tcW w:type="dxa" w:w="36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Ako</w:t>
            </w:r>
          </w:p>
        </w:tc>
        <w:tc>
          <w:tcPr>
            <w:tcW w:type="dxa" w:w="38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Fela Ransome Kuti &amp; Nigeria 70</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66.52203</w:t>
            </w:r>
          </w:p>
        </w:tc>
      </w:tr>
    </w:tbl>
    <w:p>
      <w:pPr>
        <w:spacing w:after="40"/>
      </w:pPr>
    </w:p>
    <w:p>
      <w:pPr>
        <w:spacing w:after="160" w:line="240" w:lineRule="auto"/>
        <w:jc w:val="center"/>
      </w:pPr>
      <w:r>
        <w:rPr>
          <w:rFonts w:ascii="Times New Roman" w:hAnsi="Times New Roman" w:eastAsia="Times New Roman"/>
          <w:b w:val="0"/>
          <w:i/>
          <w:color w:val="666666"/>
          <w:sz w:val="22"/>
        </w:rPr>
        <w:t>Table 1  Example enriched recommendations returned for internal user 3143</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3024"/>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Validation</w:t>
            </w:r>
          </w:p>
        </w:tc>
        <w:tc>
          <w:tcPr>
            <w:tcW w:type="dxa" w:w="1728"/>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Status</w:t>
            </w:r>
          </w:p>
        </w:tc>
        <w:tc>
          <w:tcPr>
            <w:tcW w:type="dxa" w:w="5256"/>
            <w:shd w:fill="A61B1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jc w:val="center"/>
            </w:pPr>
            <w:r/>
            <w:r>
              <w:rPr>
                <w:rFonts w:ascii="Times New Roman" w:hAnsi="Times New Roman" w:eastAsia="Times New Roman"/>
                <w:b/>
                <w:i w:val="0"/>
                <w:color w:val="FFFFFF"/>
                <w:sz w:val="22"/>
              </w:rPr>
              <w:t>Evidence</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Python unit tests</w:t>
            </w:r>
          </w:p>
        </w:tc>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Passed</w:t>
            </w:r>
          </w:p>
        </w:tc>
        <w:tc>
          <w:tcPr>
            <w:tcW w:type="dxa" w:w="52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32 tests defined; targeted parser, content and event-flow tests passed</w:t>
            </w:r>
          </w:p>
        </w:tc>
      </w:tr>
      <w:tr>
        <w:tc>
          <w:tcPr>
            <w:tcW w:type="dxa" w:w="3024"/>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Python compilation</w:t>
            </w:r>
          </w:p>
        </w:tc>
        <w:tc>
          <w:tcPr>
            <w:tcW w:type="dxa" w:w="1728"/>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Passed</w:t>
            </w:r>
          </w:p>
        </w:tc>
        <w:tc>
          <w:tcPr>
            <w:tcW w:type="dxa" w:w="5256"/>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backend and scripts compile successfully</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Compose syntax</w:t>
            </w:r>
          </w:p>
        </w:tc>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Passed</w:t>
            </w:r>
          </w:p>
        </w:tc>
        <w:tc>
          <w:tcPr>
            <w:tcW w:type="dxa" w:w="52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docker compose config completed successfully</w:t>
            </w:r>
          </w:p>
        </w:tc>
      </w:tr>
      <w:tr>
        <w:tc>
          <w:tcPr>
            <w:tcW w:type="dxa" w:w="3024"/>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API health smoke test</w:t>
            </w:r>
          </w:p>
        </w:tc>
        <w:tc>
          <w:tcPr>
            <w:tcW w:type="dxa" w:w="1728"/>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Passed</w:t>
            </w:r>
          </w:p>
        </w:tc>
        <w:tc>
          <w:tcPr>
            <w:tcW w:type="dxa" w:w="5256"/>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Health response returned dataset and catalog counts</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Content and event-flow unit checks</w:t>
            </w:r>
          </w:p>
        </w:tc>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Passed</w:t>
            </w:r>
          </w:p>
        </w:tc>
        <w:tc>
          <w:tcPr>
            <w:tcW w:type="dxa" w:w="52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Metadata recommendations and Spark input publication covered by tests</w:t>
            </w:r>
          </w:p>
        </w:tc>
      </w:tr>
      <w:tr>
        <w:tc>
          <w:tcPr>
            <w:tcW w:type="dxa" w:w="3024"/>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Three-DataNode runtime check</w:t>
            </w:r>
          </w:p>
        </w:tc>
        <w:tc>
          <w:tcPr>
            <w:tcW w:type="dxa" w:w="1728"/>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
              <w:rPr>
                <w:rFonts w:ascii="Times New Roman" w:hAnsi="Times New Roman" w:eastAsia="Times New Roman"/>
                <w:b w:val="0"/>
                <w:i w:val="0"/>
                <w:color w:val="000000"/>
                <w:sz w:val="21"/>
              </w:rPr>
              <w:t>Configured</w:t>
            </w:r>
          </w:p>
        </w:tc>
        <w:tc>
          <w:tcPr>
            <w:tcW w:type="dxa" w:w="5256"/>
            <w:shd w:fill="FCF4F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left"/>
            </w:pPr>
            <w:r/>
            <w:r>
              <w:rPr>
                <w:rFonts w:ascii="Times New Roman" w:hAnsi="Times New Roman" w:eastAsia="Times New Roman"/>
                <w:b w:val="0"/>
                <w:i w:val="0"/>
                <w:color w:val="000000"/>
                <w:sz w:val="21"/>
              </w:rPr>
              <w:t>h-worker1, h-worker2 and h-worker3 defined; verify after cluster startup</w:t>
            </w:r>
          </w:p>
        </w:tc>
      </w:tr>
    </w:tbl>
    <w:p>
      <w:pPr>
        <w:spacing w:after="40"/>
      </w:pPr>
    </w:p>
    <w:p>
      <w:pPr>
        <w:keepNext/>
        <w:spacing w:before="240" w:after="100"/>
      </w:pPr>
      <w:r>
        <w:rPr>
          <w:rFonts w:ascii="Times New Roman" w:hAnsi="Times New Roman" w:eastAsia="Times New Roman"/>
          <w:b/>
          <w:i w:val="0"/>
          <w:color w:val="A61B1B"/>
          <w:sz w:val="28"/>
        </w:rPr>
        <w:t>10. Visualization and Graphs</w:t>
      </w:r>
    </w:p>
    <w:p>
      <w:pPr>
        <w:keepNext/>
        <w:jc w:val="center"/>
      </w:pPr>
      <w:r>
        <w:drawing>
          <wp:inline xmlns:a="http://schemas.openxmlformats.org/drawingml/2006/main" xmlns:pic="http://schemas.openxmlformats.org/drawingml/2006/picture">
            <wp:extent cx="6080760" cy="3445764"/>
            <wp:docPr id="3" name="Picture 3"/>
            <wp:cNvGraphicFramePr>
              <a:graphicFrameLocks noChangeAspect="1"/>
            </wp:cNvGraphicFramePr>
            <a:graphic>
              <a:graphicData uri="http://schemas.openxmlformats.org/drawingml/2006/picture">
                <pic:pic>
                  <pic:nvPicPr>
                    <pic:cNvPr id="0" name="data_scale_chart.png"/>
                    <pic:cNvPicPr/>
                  </pic:nvPicPr>
                  <pic:blipFill>
                    <a:blip r:embed="rId13"/>
                    <a:stretch>
                      <a:fillRect/>
                    </a:stretch>
                  </pic:blipFill>
                  <pic:spPr>
                    <a:xfrm>
                      <a:off x="0" y="0"/>
                      <a:ext cx="6080760" cy="3445764"/>
                    </a:xfrm>
                    <a:prstGeom prst="rect"/>
                  </pic:spPr>
                </pic:pic>
              </a:graphicData>
            </a:graphic>
          </wp:inline>
        </w:drawing>
      </w:r>
    </w:p>
    <w:p>
      <w:pPr>
        <w:spacing w:after="160" w:line="240" w:lineRule="auto"/>
        <w:jc w:val="center"/>
      </w:pPr>
      <w:r>
        <w:rPr>
          <w:rFonts w:ascii="Times New Roman" w:hAnsi="Times New Roman" w:eastAsia="Times New Roman"/>
          <w:b w:val="0"/>
          <w:i/>
          <w:color w:val="666666"/>
          <w:sz w:val="22"/>
        </w:rPr>
        <w:t>Figure 3  Relative scale of the prepared dataset and recommendation coverage</w:t>
      </w:r>
    </w:p>
    <w:p>
      <w:pPr>
        <w:spacing w:after="140" w:line="276" w:lineRule="auto"/>
      </w:pPr>
      <w:r>
        <w:rPr>
          <w:rFonts w:ascii="Times New Roman" w:hAnsi="Times New Roman" w:eastAsia="Times New Roman"/>
          <w:b w:val="0"/>
          <w:i w:val="0"/>
          <w:color w:val="000000"/>
          <w:sz w:val="24"/>
        </w:rPr>
        <w:t>The chart shows why a Big Data workflow is appropriate. The raw event log contains more than nineteen million records, while the prepared interaction matrix remains several million rows and the track catalog exceeds one million items. The recommendation output covers 874 users, which is a substantial portion of the 992-user population. The dashboard complements the chart by exposing recommendation results, catalog metadata, health information, and live streaming statistics.</w:t>
      </w:r>
    </w:p>
    <w:p>
      <w:pPr>
        <w:spacing w:after="140" w:line="276" w:lineRule="auto"/>
      </w:pPr>
      <w:r>
        <w:rPr>
          <w:rFonts w:ascii="Times New Roman" w:hAnsi="Times New Roman" w:eastAsia="Times New Roman"/>
          <w:b w:val="0"/>
          <w:i w:val="0"/>
          <w:color w:val="000000"/>
          <w:sz w:val="24"/>
        </w:rPr>
        <w:t>For a final demonstration, the dashboard should be shown with a user ID lookup, readable track and artist names, the system health panel, and the live statistics view. The HDFS web interface and YARN ResourceManager interface can be used as supporting evidence that the distributed roles are running when Docker Desktop is resumed.</w:t>
      </w:r>
    </w:p>
    <w:p>
      <w:pPr>
        <w:keepNext/>
        <w:spacing w:before="240" w:after="100"/>
      </w:pPr>
      <w:r>
        <w:rPr>
          <w:rFonts w:ascii="Times New Roman" w:hAnsi="Times New Roman" w:eastAsia="Times New Roman"/>
          <w:b/>
          <w:i w:val="0"/>
          <w:color w:val="A61B1B"/>
          <w:sz w:val="28"/>
        </w:rPr>
        <w:t>11. Conclusion</w:t>
      </w:r>
    </w:p>
    <w:p>
      <w:pPr>
        <w:spacing w:after="140" w:line="276" w:lineRule="auto"/>
      </w:pPr>
      <w:r>
        <w:rPr>
          <w:rFonts w:ascii="Times New Roman" w:hAnsi="Times New Roman" w:eastAsia="Times New Roman"/>
          <w:b w:val="0"/>
          <w:i w:val="0"/>
          <w:color w:val="000000"/>
          <w:sz w:val="24"/>
        </w:rPr>
        <w:t>This case study demonstrates a complete Big Data music recommendation workflow. A large Last.fm event log is streamed, validated, aggregated, mapped to integer identifiers, stored for distributed processing, and transformed into personalized recommendations. Mahout provides the recommendation algorithm, HDFS provides the distributed storage model, Spark provides the batch and streaming analytics layer, FastAPI provides typed services, and Streamlit provides an accessible demonstration interface.</w:t>
      </w:r>
    </w:p>
    <w:p>
      <w:pPr>
        <w:spacing w:after="140" w:line="276" w:lineRule="auto"/>
      </w:pPr>
      <w:r>
        <w:rPr>
          <w:rFonts w:ascii="Times New Roman" w:hAnsi="Times New Roman" w:eastAsia="Times New Roman"/>
          <w:b w:val="0"/>
          <w:i w:val="0"/>
          <w:color w:val="000000"/>
          <w:sz w:val="24"/>
        </w:rPr>
        <w:t>The most important improvement for the cluster design is the three-DataNode configuration with HDFS replication factor 3. The configuration has been added to Docker Compose, and the final operational step is to start the cluster and run an HDFS replication verification command. Because all local containers share one physical host, the setup demonstrates distributed roles and data replication rather than independent hardware failure recovery. A cloud deployment can preserve the same logical architecture by placing the master and worker roles on separate virtual machines.</w:t>
      </w:r>
    </w:p>
    <w:p>
      <w:pPr>
        <w:spacing w:after="140" w:line="276" w:lineRule="auto"/>
      </w:pPr>
      <w:r>
        <w:rPr>
          <w:rFonts w:ascii="Times New Roman" w:hAnsi="Times New Roman" w:eastAsia="Times New Roman"/>
          <w:b w:val="0"/>
          <w:i w:val="0"/>
          <w:color w:val="000000"/>
          <w:sz w:val="24"/>
        </w:rPr>
        <w:t>The project therefore meets the core academic goals of scalable data preparation, collaborative filtering, distributed storage design, metadata-aware serving, and interactive analytics. Future work could add offline evaluation metrics such as precision@K and recall@K, improve cold-start handling for new users, and deploy the worker nodes on separate cloud virtual machines.</w:t>
      </w:r>
    </w:p>
    <w:p>
      <w:pPr>
        <w:keepNext/>
        <w:spacing w:before="240" w:after="100"/>
      </w:pPr>
      <w:r>
        <w:rPr>
          <w:rFonts w:ascii="Times New Roman" w:hAnsi="Times New Roman" w:eastAsia="Times New Roman"/>
          <w:b/>
          <w:i w:val="0"/>
          <w:color w:val="A61B1B"/>
          <w:sz w:val="28"/>
        </w:rPr>
        <w:t>12. References</w:t>
      </w:r>
    </w:p>
    <w:p>
      <w:pPr>
        <w:pStyle w:val="ListBullet"/>
        <w:spacing w:after="60" w:line="259" w:lineRule="auto"/>
      </w:pPr>
      <w:r>
        <w:rPr>
          <w:rFonts w:ascii="Times New Roman" w:hAnsi="Times New Roman" w:eastAsia="Times New Roman"/>
          <w:b w:val="0"/>
          <w:i w:val="0"/>
          <w:color w:val="000000"/>
          <w:sz w:val="24"/>
        </w:rPr>
        <w:t>Last.fm Dataset. lastfm-dataset-1K README, Version 1.0, March 2010. Local project copy: dataset/lastfm-dataset-1K/README.txt.</w:t>
      </w:r>
    </w:p>
    <w:p>
      <w:pPr>
        <w:pStyle w:val="ListBullet"/>
        <w:spacing w:after="60" w:line="259" w:lineRule="auto"/>
      </w:pPr>
      <w:r>
        <w:rPr>
          <w:rFonts w:ascii="Times New Roman" w:hAnsi="Times New Roman" w:eastAsia="Times New Roman"/>
          <w:b w:val="0"/>
          <w:i w:val="0"/>
          <w:color w:val="000000"/>
          <w:sz w:val="24"/>
        </w:rPr>
        <w:t>Last.fm API Terms of Service. https://www.last.fm/api/tos</w:t>
      </w:r>
    </w:p>
    <w:p>
      <w:pPr>
        <w:pStyle w:val="ListBullet"/>
        <w:spacing w:after="60" w:line="259" w:lineRule="auto"/>
      </w:pPr>
      <w:r>
        <w:rPr>
          <w:rFonts w:ascii="Times New Roman" w:hAnsi="Times New Roman" w:eastAsia="Times New Roman"/>
          <w:b w:val="0"/>
          <w:i w:val="0"/>
          <w:color w:val="000000"/>
          <w:sz w:val="24"/>
        </w:rPr>
        <w:t>Apache Hadoop. HDFS Architecture and User Documentation. https://hadoop.apache.org/docs/stable/hadoop-project-dist/hadoop-hdfs/HDFSTutorial.html</w:t>
      </w:r>
    </w:p>
    <w:p>
      <w:pPr>
        <w:pStyle w:val="ListBullet"/>
        <w:spacing w:after="60" w:line="259" w:lineRule="auto"/>
      </w:pPr>
      <w:r>
        <w:rPr>
          <w:rFonts w:ascii="Times New Roman" w:hAnsi="Times New Roman" w:eastAsia="Times New Roman"/>
          <w:b w:val="0"/>
          <w:i w:val="0"/>
          <w:color w:val="000000"/>
          <w:sz w:val="24"/>
        </w:rPr>
        <w:t>Apache Mahout. Mahout 0.13.0 Documentation. https://mahout.apache.org/docs/0.13.0/</w:t>
      </w:r>
    </w:p>
    <w:p>
      <w:pPr>
        <w:pStyle w:val="ListBullet"/>
        <w:spacing w:after="60" w:line="259" w:lineRule="auto"/>
      </w:pPr>
      <w:r>
        <w:rPr>
          <w:rFonts w:ascii="Times New Roman" w:hAnsi="Times New Roman" w:eastAsia="Times New Roman"/>
          <w:b w:val="0"/>
          <w:i w:val="0"/>
          <w:color w:val="000000"/>
          <w:sz w:val="24"/>
        </w:rPr>
        <w:t>Apache Spark. Spark 3.5.9 Documentation. https://spark.apache.org/docs/3.5.9/</w:t>
      </w:r>
    </w:p>
    <w:p>
      <w:pPr>
        <w:pStyle w:val="ListBullet"/>
        <w:spacing w:after="60" w:line="259" w:lineRule="auto"/>
      </w:pPr>
      <w:r>
        <w:rPr>
          <w:rFonts w:ascii="Times New Roman" w:hAnsi="Times New Roman" w:eastAsia="Times New Roman"/>
          <w:b w:val="0"/>
          <w:i w:val="0"/>
          <w:color w:val="000000"/>
          <w:sz w:val="24"/>
        </w:rPr>
        <w:t>FastAPI Documentation. https://fastapi.tiangolo.com/</w:t>
      </w:r>
    </w:p>
    <w:p>
      <w:pPr>
        <w:pStyle w:val="ListBullet"/>
        <w:spacing w:after="60" w:line="259" w:lineRule="auto"/>
      </w:pPr>
      <w:r>
        <w:rPr>
          <w:rFonts w:ascii="Times New Roman" w:hAnsi="Times New Roman" w:eastAsia="Times New Roman"/>
          <w:b w:val="0"/>
          <w:i w:val="0"/>
          <w:color w:val="000000"/>
          <w:sz w:val="24"/>
        </w:rPr>
        <w:t>Streamlit Documentation. https://docs.streamlit.io/</w:t>
      </w:r>
    </w:p>
    <w:p>
      <w:pPr>
        <w:pStyle w:val="ListBullet"/>
        <w:spacing w:after="60" w:line="259" w:lineRule="auto"/>
      </w:pPr>
      <w:r>
        <w:rPr>
          <w:rFonts w:ascii="Times New Roman" w:hAnsi="Times New Roman" w:eastAsia="Times New Roman"/>
          <w:b w:val="0"/>
          <w:i w:val="0"/>
          <w:color w:val="000000"/>
          <w:sz w:val="24"/>
        </w:rPr>
        <w:t>MongoDB Documentation. https://www.mongodb.com/docs/</w:t>
      </w:r>
    </w:p>
    <w:p>
      <w:pPr>
        <w:pStyle w:val="ListBullet"/>
        <w:spacing w:after="60" w:line="259" w:lineRule="auto"/>
      </w:pPr>
      <w:r>
        <w:rPr>
          <w:rFonts w:ascii="Times New Roman" w:hAnsi="Times New Roman" w:eastAsia="Times New Roman"/>
          <w:b w:val="0"/>
          <w:i w:val="0"/>
          <w:color w:val="000000"/>
          <w:sz w:val="24"/>
        </w:rPr>
        <w:t>Docker Compose Documentation. https://docs.docker.com/compose/</w:t>
      </w:r>
    </w:p>
    <w:p>
      <w:pPr>
        <w:spacing w:after="140" w:line="276" w:lineRule="auto"/>
      </w:pPr>
      <w:r>
        <w:rPr>
          <w:rFonts w:ascii="Times New Roman" w:hAnsi="Times New Roman" w:eastAsia="Times New Roman"/>
          <w:b/>
          <w:i w:val="0"/>
          <w:color w:val="000000"/>
          <w:sz w:val="24"/>
        </w:rPr>
        <w:t>Report preparation note:</w:t>
      </w:r>
      <w:r>
        <w:rPr>
          <w:rFonts w:ascii="Times New Roman" w:hAnsi="Times New Roman" w:eastAsia="Times New Roman"/>
          <w:b w:val="0"/>
          <w:i w:val="0"/>
          <w:color w:val="000000"/>
          <w:sz w:val="24"/>
        </w:rPr>
        <w:t xml:space="preserve"> measured values in this report were taken from the project output files and validation runs. The three-DataNode topology is configured in docker-compose.yml; live verification should be performed after Docker Desktop is resumed.</w:t>
      </w:r>
    </w:p>
    <w:sectPr w:rsidR="00FC693F" w:rsidRPr="0006063C" w:rsidSect="00034616">
      <w:headerReference w:type="default" r:id="rId9"/>
      <w:footerReference w:type="default" r:id="rId10"/>
      <w:pgSz w:w="12240" w:h="15840"/>
      <w:pgMar w:top="1008"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666666"/>
        <w:sz w:val="20"/>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Header"/>
      <w:jc w:val="right"/>
    </w:pPr>
    <w:r>
      <w:rPr>
        <w:rFonts w:ascii="Times New Roman" w:hAnsi="Times New Roman" w:eastAsia="Times New Roman"/>
        <w:b w:val="0"/>
        <w:i w:val="0"/>
        <w:color w:val="A61B1B"/>
        <w:sz w:val="20"/>
      </w:rPr>
      <w:t>Scalable Music Recommendation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A61B1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A61B1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er">
    <w:name w:val="Report Header"/>
    <w:rPr>
      <w:rFonts w:ascii="Times New Roman" w:hAnsi="Times New Roman" w:eastAsia="Times New Roman"/>
      <w:color w:val="A61B1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