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EA9E" w14:textId="2B9825B4" w:rsidR="00510AD1" w:rsidRDefault="00000000" w:rsidP="00E41F32">
      <w:pPr>
        <w:spacing w:after="80"/>
      </w:pPr>
      <w:r>
        <w:rPr>
          <w:b/>
          <w:bCs/>
          <w:color w:val="1F3864"/>
          <w:sz w:val="40"/>
          <w:szCs w:val="40"/>
        </w:rPr>
        <w:t>Marsh AI-Powered Insurance Pitch Generator</w:t>
      </w:r>
    </w:p>
    <w:p w14:paraId="27279348" w14:textId="77777777" w:rsidR="00510AD1" w:rsidRDefault="00000000">
      <w:pPr>
        <w:pStyle w:val="Heading2"/>
        <w:pBdr>
          <w:bottom w:val="single" w:sz="6" w:space="4" w:color="1F3864"/>
        </w:pBdr>
        <w:spacing w:before="260" w:after="140"/>
      </w:pPr>
      <w:r>
        <w:rPr>
          <w:b/>
          <w:bCs/>
          <w:color w:val="1F3864"/>
        </w:rPr>
        <w:t>1. Approach</w:t>
      </w:r>
    </w:p>
    <w:p w14:paraId="3449E981" w14:textId="7376524D" w:rsidR="00510AD1" w:rsidRDefault="00000000">
      <w:pPr>
        <w:spacing w:after="160" w:line="276" w:lineRule="auto"/>
      </w:pPr>
      <w:r>
        <w:t>This project delivers an end-to-end AI pitch generator for Marsh insurance advisors. Given a company name, the system automatically produces a tailored, client-specific marketing pitch deck that is strictly grounded in the four provided product brochures (ABHI, Care Health, HDFC, Niva Bupa). The primary engineering challenge was not generation itself, but preventing the LLM from inventing coverage benefits a serious liability risk in the insurance domain.</w:t>
      </w:r>
    </w:p>
    <w:p w14:paraId="128FC41F" w14:textId="77777777" w:rsidR="00510AD1" w:rsidRDefault="00000000">
      <w:pPr>
        <w:spacing w:after="160" w:line="276" w:lineRule="auto"/>
      </w:pPr>
      <w:r>
        <w:t xml:space="preserve">The pipeline runs in five sequential stages: </w:t>
      </w:r>
      <w:r>
        <w:rPr>
          <w:b/>
          <w:bCs/>
        </w:rPr>
        <w:t>Company Profile</w:t>
      </w:r>
      <w:r>
        <w:t xml:space="preserve"> (identifying the client's industry risks and employee profile) → </w:t>
      </w:r>
      <w:r>
        <w:rPr>
          <w:b/>
          <w:bCs/>
        </w:rPr>
        <w:t>Retrieval</w:t>
      </w:r>
      <w:r>
        <w:t xml:space="preserve"> (cosine similarity search over pre-embedded policy chunks) → </w:t>
      </w:r>
      <w:r>
        <w:rPr>
          <w:b/>
          <w:bCs/>
        </w:rPr>
        <w:t>Pitch Generation</w:t>
      </w:r>
      <w:r>
        <w:t xml:space="preserve"> (LLM drafts slide content against retrieved context) → </w:t>
      </w:r>
      <w:r>
        <w:rPr>
          <w:b/>
          <w:bCs/>
        </w:rPr>
        <w:t>Claim Audit</w:t>
      </w:r>
      <w:r>
        <w:t xml:space="preserve"> (every factual claim in the deck is verified against source documents) → </w:t>
      </w:r>
      <w:r>
        <w:rPr>
          <w:b/>
          <w:bCs/>
        </w:rPr>
        <w:t>PPTX Export</w:t>
      </w:r>
      <w:r>
        <w:t xml:space="preserve"> (assembles a downloadable .pptx for the advisor).</w:t>
      </w:r>
    </w:p>
    <w:p w14:paraId="30638CF7" w14:textId="6ADA9C90" w:rsidR="00510AD1" w:rsidRDefault="00000000">
      <w:pPr>
        <w:spacing w:after="160" w:line="276" w:lineRule="auto"/>
      </w:pPr>
      <w:r>
        <w:t xml:space="preserve">The system is designed to be free-tier friendly throughout: embeddings run locally, LLM calls go to </w:t>
      </w:r>
      <w:proofErr w:type="spellStart"/>
      <w:r>
        <w:t>Groq's</w:t>
      </w:r>
      <w:proofErr w:type="spellEnd"/>
      <w:r>
        <w:t xml:space="preserve"> fast free API with provider fallback, and the vector index is an in-memory NumPy array loaded from a precomputed pickle </w:t>
      </w:r>
      <w:r w:rsidR="00E41F32">
        <w:t>file no</w:t>
      </w:r>
      <w:r>
        <w:t xml:space="preserve"> external vector database required.</w:t>
      </w:r>
    </w:p>
    <w:p w14:paraId="76239FF1" w14:textId="77777777" w:rsidR="00510AD1" w:rsidRDefault="00000000">
      <w:pPr>
        <w:pStyle w:val="Heading2"/>
        <w:pBdr>
          <w:bottom w:val="single" w:sz="6" w:space="4" w:color="1F3864"/>
        </w:pBdr>
        <w:spacing w:before="260" w:after="140"/>
      </w:pPr>
      <w:r>
        <w:rPr>
          <w:b/>
          <w:bCs/>
          <w:color w:val="1F3864"/>
        </w:rPr>
        <w:t>2. Tech Stack &amp;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2823"/>
        <w:gridCol w:w="3808"/>
      </w:tblGrid>
      <w:tr w:rsidR="00510AD1" w14:paraId="4388D4D9" w14:textId="77777777">
        <w:tblPrEx>
          <w:tblCellMar>
            <w:top w:w="0" w:type="dxa"/>
            <w:bottom w:w="0" w:type="dxa"/>
          </w:tblCellMar>
        </w:tblPrEx>
        <w:tc>
          <w:tcPr>
            <w:tcW w:w="0" w:type="dxa"/>
            <w:shd w:val="clear" w:color="auto" w:fill="1F3864"/>
            <w:tcMar>
              <w:top w:w="100" w:type="dxa"/>
              <w:left w:w="120" w:type="dxa"/>
              <w:bottom w:w="100" w:type="dxa"/>
              <w:right w:w="120" w:type="dxa"/>
            </w:tcMar>
          </w:tcPr>
          <w:p w14:paraId="4FBBD3F1" w14:textId="77777777" w:rsidR="00510AD1" w:rsidRDefault="00000000">
            <w:r>
              <w:rPr>
                <w:b/>
                <w:bCs/>
                <w:color w:val="FFFFFF"/>
                <w:sz w:val="20"/>
                <w:szCs w:val="20"/>
              </w:rPr>
              <w:t>Technology</w:t>
            </w:r>
          </w:p>
        </w:tc>
        <w:tc>
          <w:tcPr>
            <w:tcW w:w="0" w:type="dxa"/>
            <w:shd w:val="clear" w:color="auto" w:fill="1F3864"/>
            <w:tcMar>
              <w:top w:w="100" w:type="dxa"/>
              <w:left w:w="120" w:type="dxa"/>
              <w:bottom w:w="100" w:type="dxa"/>
              <w:right w:w="120" w:type="dxa"/>
            </w:tcMar>
          </w:tcPr>
          <w:p w14:paraId="73BE93E6" w14:textId="77777777" w:rsidR="00510AD1" w:rsidRDefault="00000000">
            <w:r>
              <w:rPr>
                <w:b/>
                <w:bCs/>
                <w:color w:val="FFFFFF"/>
                <w:sz w:val="20"/>
                <w:szCs w:val="20"/>
              </w:rPr>
              <w:t>Role</w:t>
            </w:r>
          </w:p>
        </w:tc>
        <w:tc>
          <w:tcPr>
            <w:tcW w:w="0" w:type="dxa"/>
            <w:shd w:val="clear" w:color="auto" w:fill="1F3864"/>
            <w:tcMar>
              <w:top w:w="100" w:type="dxa"/>
              <w:left w:w="120" w:type="dxa"/>
              <w:bottom w:w="100" w:type="dxa"/>
              <w:right w:w="120" w:type="dxa"/>
            </w:tcMar>
          </w:tcPr>
          <w:p w14:paraId="713CC61A" w14:textId="77777777" w:rsidR="00510AD1" w:rsidRDefault="00000000">
            <w:r>
              <w:rPr>
                <w:b/>
                <w:bCs/>
                <w:color w:val="FFFFFF"/>
                <w:sz w:val="20"/>
                <w:szCs w:val="20"/>
              </w:rPr>
              <w:t>Rationale</w:t>
            </w:r>
          </w:p>
        </w:tc>
      </w:tr>
      <w:tr w:rsidR="00510AD1" w14:paraId="15506926" w14:textId="77777777">
        <w:tblPrEx>
          <w:tblCellMar>
            <w:top w:w="0" w:type="dxa"/>
            <w:bottom w:w="0" w:type="dxa"/>
          </w:tblCellMar>
        </w:tblPrEx>
        <w:tc>
          <w:tcPr>
            <w:tcW w:w="0" w:type="dxa"/>
            <w:tcMar>
              <w:top w:w="100" w:type="dxa"/>
              <w:left w:w="120" w:type="dxa"/>
              <w:bottom w:w="100" w:type="dxa"/>
              <w:right w:w="120" w:type="dxa"/>
            </w:tcMar>
          </w:tcPr>
          <w:p w14:paraId="735A56FB" w14:textId="77777777" w:rsidR="00510AD1" w:rsidRDefault="00000000">
            <w:proofErr w:type="spellStart"/>
            <w:r>
              <w:rPr>
                <w:color w:val="000000"/>
                <w:sz w:val="20"/>
                <w:szCs w:val="20"/>
              </w:rPr>
              <w:t>FastAPI</w:t>
            </w:r>
            <w:proofErr w:type="spellEnd"/>
          </w:p>
        </w:tc>
        <w:tc>
          <w:tcPr>
            <w:tcW w:w="0" w:type="dxa"/>
            <w:tcMar>
              <w:top w:w="100" w:type="dxa"/>
              <w:left w:w="120" w:type="dxa"/>
              <w:bottom w:w="100" w:type="dxa"/>
              <w:right w:w="120" w:type="dxa"/>
            </w:tcMar>
          </w:tcPr>
          <w:p w14:paraId="6BC7C654" w14:textId="77777777" w:rsidR="00510AD1" w:rsidRDefault="00000000">
            <w:r>
              <w:rPr>
                <w:color w:val="000000"/>
                <w:sz w:val="20"/>
                <w:szCs w:val="20"/>
              </w:rPr>
              <w:t>Backend + API serving</w:t>
            </w:r>
          </w:p>
        </w:tc>
        <w:tc>
          <w:tcPr>
            <w:tcW w:w="0" w:type="dxa"/>
            <w:tcMar>
              <w:top w:w="100" w:type="dxa"/>
              <w:left w:w="120" w:type="dxa"/>
              <w:bottom w:w="100" w:type="dxa"/>
              <w:right w:w="120" w:type="dxa"/>
            </w:tcMar>
          </w:tcPr>
          <w:p w14:paraId="6A107B20" w14:textId="77777777" w:rsidR="00510AD1" w:rsidRDefault="00000000">
            <w:r>
              <w:rPr>
                <w:color w:val="000000"/>
                <w:sz w:val="20"/>
                <w:szCs w:val="20"/>
              </w:rPr>
              <w:t>Async-native, auto-generated Swagger docs, minimal overhead; serves frontend and API from a single process (Render-friendly).</w:t>
            </w:r>
          </w:p>
        </w:tc>
      </w:tr>
      <w:tr w:rsidR="00510AD1" w14:paraId="70AD56B1" w14:textId="77777777">
        <w:tblPrEx>
          <w:tblCellMar>
            <w:top w:w="0" w:type="dxa"/>
            <w:bottom w:w="0" w:type="dxa"/>
          </w:tblCellMar>
        </w:tblPrEx>
        <w:tc>
          <w:tcPr>
            <w:tcW w:w="0" w:type="dxa"/>
            <w:tcMar>
              <w:top w:w="100" w:type="dxa"/>
              <w:left w:w="120" w:type="dxa"/>
              <w:bottom w:w="100" w:type="dxa"/>
              <w:right w:w="120" w:type="dxa"/>
            </w:tcMar>
          </w:tcPr>
          <w:p w14:paraId="48DE8735" w14:textId="77777777" w:rsidR="00510AD1" w:rsidRDefault="00000000">
            <w:proofErr w:type="spellStart"/>
            <w:r>
              <w:rPr>
                <w:color w:val="000000"/>
                <w:sz w:val="20"/>
                <w:szCs w:val="20"/>
              </w:rPr>
              <w:t>fastembed</w:t>
            </w:r>
            <w:proofErr w:type="spellEnd"/>
            <w:r>
              <w:rPr>
                <w:color w:val="000000"/>
                <w:sz w:val="20"/>
                <w:szCs w:val="20"/>
              </w:rPr>
              <w:t xml:space="preserve"> (BAAI/bge-small-en-v1.5)</w:t>
            </w:r>
          </w:p>
        </w:tc>
        <w:tc>
          <w:tcPr>
            <w:tcW w:w="0" w:type="dxa"/>
            <w:tcMar>
              <w:top w:w="100" w:type="dxa"/>
              <w:left w:w="120" w:type="dxa"/>
              <w:bottom w:w="100" w:type="dxa"/>
              <w:right w:w="120" w:type="dxa"/>
            </w:tcMar>
          </w:tcPr>
          <w:p w14:paraId="1BF5E322" w14:textId="77777777" w:rsidR="00510AD1" w:rsidRDefault="00000000">
            <w:r>
              <w:rPr>
                <w:color w:val="000000"/>
                <w:sz w:val="20"/>
                <w:szCs w:val="20"/>
              </w:rPr>
              <w:t>Local embeddings</w:t>
            </w:r>
          </w:p>
        </w:tc>
        <w:tc>
          <w:tcPr>
            <w:tcW w:w="0" w:type="dxa"/>
            <w:tcMar>
              <w:top w:w="100" w:type="dxa"/>
              <w:left w:w="120" w:type="dxa"/>
              <w:bottom w:w="100" w:type="dxa"/>
              <w:right w:w="120" w:type="dxa"/>
            </w:tcMar>
          </w:tcPr>
          <w:p w14:paraId="431751E3" w14:textId="77777777" w:rsidR="00510AD1" w:rsidRDefault="00000000">
            <w:r>
              <w:rPr>
                <w:color w:val="000000"/>
                <w:sz w:val="20"/>
                <w:szCs w:val="20"/>
              </w:rPr>
              <w:t>Runs via ONNX locally — no external embedding API, no rate limits, sub-second inference.</w:t>
            </w:r>
          </w:p>
        </w:tc>
      </w:tr>
      <w:tr w:rsidR="00510AD1" w14:paraId="03E7DF66" w14:textId="77777777">
        <w:tblPrEx>
          <w:tblCellMar>
            <w:top w:w="0" w:type="dxa"/>
            <w:bottom w:w="0" w:type="dxa"/>
          </w:tblCellMar>
        </w:tblPrEx>
        <w:tc>
          <w:tcPr>
            <w:tcW w:w="0" w:type="dxa"/>
            <w:tcMar>
              <w:top w:w="100" w:type="dxa"/>
              <w:left w:w="120" w:type="dxa"/>
              <w:bottom w:w="100" w:type="dxa"/>
              <w:right w:w="120" w:type="dxa"/>
            </w:tcMar>
          </w:tcPr>
          <w:p w14:paraId="44E3AD5A" w14:textId="77777777" w:rsidR="00510AD1" w:rsidRDefault="00000000">
            <w:r>
              <w:rPr>
                <w:color w:val="000000"/>
                <w:sz w:val="20"/>
                <w:szCs w:val="20"/>
              </w:rPr>
              <w:t>NumPy</w:t>
            </w:r>
          </w:p>
        </w:tc>
        <w:tc>
          <w:tcPr>
            <w:tcW w:w="0" w:type="dxa"/>
            <w:tcMar>
              <w:top w:w="100" w:type="dxa"/>
              <w:left w:w="120" w:type="dxa"/>
              <w:bottom w:w="100" w:type="dxa"/>
              <w:right w:w="120" w:type="dxa"/>
            </w:tcMar>
          </w:tcPr>
          <w:p w14:paraId="6D7E22A5" w14:textId="77777777" w:rsidR="00510AD1" w:rsidRDefault="00000000">
            <w:r>
              <w:rPr>
                <w:color w:val="000000"/>
                <w:sz w:val="20"/>
                <w:szCs w:val="20"/>
              </w:rPr>
              <w:t>Cosine similarity search</w:t>
            </w:r>
          </w:p>
        </w:tc>
        <w:tc>
          <w:tcPr>
            <w:tcW w:w="0" w:type="dxa"/>
            <w:tcMar>
              <w:top w:w="100" w:type="dxa"/>
              <w:left w:w="120" w:type="dxa"/>
              <w:bottom w:w="100" w:type="dxa"/>
              <w:right w:w="120" w:type="dxa"/>
            </w:tcMar>
          </w:tcPr>
          <w:p w14:paraId="1B0402B0" w14:textId="77777777" w:rsidR="00510AD1" w:rsidRDefault="00000000">
            <w:r>
              <w:rPr>
                <w:color w:val="000000"/>
                <w:sz w:val="20"/>
                <w:szCs w:val="20"/>
              </w:rPr>
              <w:t>Sufficient for ~4 policy documents at this scale; eliminates the need for a vector database entirely.</w:t>
            </w:r>
          </w:p>
        </w:tc>
      </w:tr>
      <w:tr w:rsidR="00510AD1" w14:paraId="1D4570AB" w14:textId="77777777">
        <w:tblPrEx>
          <w:tblCellMar>
            <w:top w:w="0" w:type="dxa"/>
            <w:bottom w:w="0" w:type="dxa"/>
          </w:tblCellMar>
        </w:tblPrEx>
        <w:tc>
          <w:tcPr>
            <w:tcW w:w="0" w:type="dxa"/>
            <w:tcMar>
              <w:top w:w="100" w:type="dxa"/>
              <w:left w:w="120" w:type="dxa"/>
              <w:bottom w:w="100" w:type="dxa"/>
              <w:right w:w="120" w:type="dxa"/>
            </w:tcMar>
          </w:tcPr>
          <w:p w14:paraId="71720E24" w14:textId="77777777" w:rsidR="00510AD1" w:rsidRDefault="00000000">
            <w:proofErr w:type="spellStart"/>
            <w:r>
              <w:rPr>
                <w:color w:val="000000"/>
                <w:sz w:val="20"/>
                <w:szCs w:val="20"/>
              </w:rPr>
              <w:t>Groq</w:t>
            </w:r>
            <w:proofErr w:type="spellEnd"/>
            <w:r>
              <w:rPr>
                <w:color w:val="000000"/>
                <w:sz w:val="20"/>
                <w:szCs w:val="20"/>
              </w:rPr>
              <w:t xml:space="preserve"> API</w:t>
            </w:r>
          </w:p>
        </w:tc>
        <w:tc>
          <w:tcPr>
            <w:tcW w:w="0" w:type="dxa"/>
            <w:tcMar>
              <w:top w:w="100" w:type="dxa"/>
              <w:left w:w="120" w:type="dxa"/>
              <w:bottom w:w="100" w:type="dxa"/>
              <w:right w:w="120" w:type="dxa"/>
            </w:tcMar>
          </w:tcPr>
          <w:p w14:paraId="3F955CDC" w14:textId="77777777" w:rsidR="00510AD1" w:rsidRDefault="00000000">
            <w:r>
              <w:rPr>
                <w:color w:val="000000"/>
                <w:sz w:val="20"/>
                <w:szCs w:val="20"/>
              </w:rPr>
              <w:t>LLM inference (generation + audit)</w:t>
            </w:r>
          </w:p>
        </w:tc>
        <w:tc>
          <w:tcPr>
            <w:tcW w:w="0" w:type="dxa"/>
            <w:tcMar>
              <w:top w:w="100" w:type="dxa"/>
              <w:left w:w="120" w:type="dxa"/>
              <w:bottom w:w="100" w:type="dxa"/>
              <w:right w:w="120" w:type="dxa"/>
            </w:tcMar>
          </w:tcPr>
          <w:p w14:paraId="60183F68" w14:textId="77777777" w:rsidR="00510AD1" w:rsidRDefault="00000000">
            <w:r>
              <w:rPr>
                <w:color w:val="000000"/>
                <w:sz w:val="20"/>
                <w:szCs w:val="20"/>
              </w:rPr>
              <w:t>High-speed, free-tier access; two model tiers — a larger reasoning model for generation, a smaller model for structured JSON tasks.</w:t>
            </w:r>
          </w:p>
        </w:tc>
      </w:tr>
      <w:tr w:rsidR="00510AD1" w14:paraId="577C168C" w14:textId="77777777">
        <w:tblPrEx>
          <w:tblCellMar>
            <w:top w:w="0" w:type="dxa"/>
            <w:bottom w:w="0" w:type="dxa"/>
          </w:tblCellMar>
        </w:tblPrEx>
        <w:tc>
          <w:tcPr>
            <w:tcW w:w="0" w:type="dxa"/>
            <w:tcMar>
              <w:top w:w="100" w:type="dxa"/>
              <w:left w:w="120" w:type="dxa"/>
              <w:bottom w:w="100" w:type="dxa"/>
              <w:right w:w="120" w:type="dxa"/>
            </w:tcMar>
          </w:tcPr>
          <w:p w14:paraId="0C001B94" w14:textId="77777777" w:rsidR="00510AD1" w:rsidRDefault="00000000">
            <w:r>
              <w:rPr>
                <w:color w:val="000000"/>
                <w:sz w:val="20"/>
                <w:szCs w:val="20"/>
              </w:rPr>
              <w:t>python-pptx</w:t>
            </w:r>
          </w:p>
        </w:tc>
        <w:tc>
          <w:tcPr>
            <w:tcW w:w="0" w:type="dxa"/>
            <w:tcMar>
              <w:top w:w="100" w:type="dxa"/>
              <w:left w:w="120" w:type="dxa"/>
              <w:bottom w:w="100" w:type="dxa"/>
              <w:right w:w="120" w:type="dxa"/>
            </w:tcMar>
          </w:tcPr>
          <w:p w14:paraId="7B2EACDE" w14:textId="77777777" w:rsidR="00510AD1" w:rsidRDefault="00000000">
            <w:r>
              <w:rPr>
                <w:color w:val="000000"/>
                <w:sz w:val="20"/>
                <w:szCs w:val="20"/>
              </w:rPr>
              <w:t>Deck export</w:t>
            </w:r>
          </w:p>
        </w:tc>
        <w:tc>
          <w:tcPr>
            <w:tcW w:w="0" w:type="dxa"/>
            <w:tcMar>
              <w:top w:w="100" w:type="dxa"/>
              <w:left w:w="120" w:type="dxa"/>
              <w:bottom w:w="100" w:type="dxa"/>
              <w:right w:w="120" w:type="dxa"/>
            </w:tcMar>
          </w:tcPr>
          <w:p w14:paraId="48AAB204" w14:textId="77777777" w:rsidR="00510AD1" w:rsidRDefault="00000000">
            <w:r>
              <w:rPr>
                <w:color w:val="000000"/>
                <w:sz w:val="20"/>
                <w:szCs w:val="20"/>
              </w:rPr>
              <w:t>Programmatically assembles native .pptx files without templates; no third-party slideshow service needed.</w:t>
            </w:r>
          </w:p>
        </w:tc>
      </w:tr>
      <w:tr w:rsidR="00510AD1" w14:paraId="7EC5AEB7" w14:textId="77777777">
        <w:tblPrEx>
          <w:tblCellMar>
            <w:top w:w="0" w:type="dxa"/>
            <w:bottom w:w="0" w:type="dxa"/>
          </w:tblCellMar>
        </w:tblPrEx>
        <w:tc>
          <w:tcPr>
            <w:tcW w:w="0" w:type="dxa"/>
            <w:tcMar>
              <w:top w:w="100" w:type="dxa"/>
              <w:left w:w="120" w:type="dxa"/>
              <w:bottom w:w="100" w:type="dxa"/>
              <w:right w:w="120" w:type="dxa"/>
            </w:tcMar>
          </w:tcPr>
          <w:p w14:paraId="4E79E38F" w14:textId="77777777" w:rsidR="00510AD1" w:rsidRDefault="00000000">
            <w:proofErr w:type="spellStart"/>
            <w:r>
              <w:rPr>
                <w:color w:val="000000"/>
                <w:sz w:val="20"/>
                <w:szCs w:val="20"/>
              </w:rPr>
              <w:t>PyMuPDF</w:t>
            </w:r>
            <w:proofErr w:type="spellEnd"/>
          </w:p>
        </w:tc>
        <w:tc>
          <w:tcPr>
            <w:tcW w:w="0" w:type="dxa"/>
            <w:tcMar>
              <w:top w:w="100" w:type="dxa"/>
              <w:left w:w="120" w:type="dxa"/>
              <w:bottom w:w="100" w:type="dxa"/>
              <w:right w:w="120" w:type="dxa"/>
            </w:tcMar>
          </w:tcPr>
          <w:p w14:paraId="351BB19A" w14:textId="77777777" w:rsidR="00510AD1" w:rsidRDefault="00000000">
            <w:r>
              <w:rPr>
                <w:color w:val="000000"/>
                <w:sz w:val="20"/>
                <w:szCs w:val="20"/>
              </w:rPr>
              <w:t>PDF ingestion</w:t>
            </w:r>
          </w:p>
        </w:tc>
        <w:tc>
          <w:tcPr>
            <w:tcW w:w="0" w:type="dxa"/>
            <w:tcMar>
              <w:top w:w="100" w:type="dxa"/>
              <w:left w:w="120" w:type="dxa"/>
              <w:bottom w:w="100" w:type="dxa"/>
              <w:right w:w="120" w:type="dxa"/>
            </w:tcMar>
          </w:tcPr>
          <w:p w14:paraId="027933D2" w14:textId="77777777" w:rsidR="00510AD1" w:rsidRDefault="00000000">
            <w:r>
              <w:rPr>
                <w:color w:val="000000"/>
                <w:sz w:val="20"/>
                <w:szCs w:val="20"/>
              </w:rPr>
              <w:t xml:space="preserve">Handles complex PDF layouts (tables, multi-column) more reliably than standard </w:t>
            </w:r>
            <w:proofErr w:type="spellStart"/>
            <w:r>
              <w:rPr>
                <w:color w:val="000000"/>
                <w:sz w:val="20"/>
                <w:szCs w:val="20"/>
              </w:rPr>
              <w:t>pdfminer</w:t>
            </w:r>
            <w:proofErr w:type="spellEnd"/>
            <w:r>
              <w:rPr>
                <w:color w:val="000000"/>
                <w:sz w:val="20"/>
                <w:szCs w:val="20"/>
              </w:rPr>
              <w:t>.</w:t>
            </w:r>
          </w:p>
        </w:tc>
      </w:tr>
      <w:tr w:rsidR="00510AD1" w14:paraId="0BF22094" w14:textId="77777777">
        <w:tblPrEx>
          <w:tblCellMar>
            <w:top w:w="0" w:type="dxa"/>
            <w:bottom w:w="0" w:type="dxa"/>
          </w:tblCellMar>
        </w:tblPrEx>
        <w:tc>
          <w:tcPr>
            <w:tcW w:w="0" w:type="dxa"/>
            <w:tcMar>
              <w:top w:w="100" w:type="dxa"/>
              <w:left w:w="120" w:type="dxa"/>
              <w:bottom w:w="100" w:type="dxa"/>
              <w:right w:w="120" w:type="dxa"/>
            </w:tcMar>
          </w:tcPr>
          <w:p w14:paraId="00CCA1DD" w14:textId="77777777" w:rsidR="00510AD1" w:rsidRDefault="00000000">
            <w:r>
              <w:rPr>
                <w:color w:val="000000"/>
                <w:sz w:val="20"/>
                <w:szCs w:val="20"/>
              </w:rPr>
              <w:t>tenacity</w:t>
            </w:r>
          </w:p>
        </w:tc>
        <w:tc>
          <w:tcPr>
            <w:tcW w:w="0" w:type="dxa"/>
            <w:tcMar>
              <w:top w:w="100" w:type="dxa"/>
              <w:left w:w="120" w:type="dxa"/>
              <w:bottom w:w="100" w:type="dxa"/>
              <w:right w:w="120" w:type="dxa"/>
            </w:tcMar>
          </w:tcPr>
          <w:p w14:paraId="456A5DBF" w14:textId="77777777" w:rsidR="00510AD1" w:rsidRDefault="00000000">
            <w:r>
              <w:rPr>
                <w:color w:val="000000"/>
                <w:sz w:val="20"/>
                <w:szCs w:val="20"/>
              </w:rPr>
              <w:t>Retry / backoff logic</w:t>
            </w:r>
          </w:p>
        </w:tc>
        <w:tc>
          <w:tcPr>
            <w:tcW w:w="0" w:type="dxa"/>
            <w:tcMar>
              <w:top w:w="100" w:type="dxa"/>
              <w:left w:w="120" w:type="dxa"/>
              <w:bottom w:w="100" w:type="dxa"/>
              <w:right w:w="120" w:type="dxa"/>
            </w:tcMar>
          </w:tcPr>
          <w:p w14:paraId="1C9B46A6" w14:textId="77777777" w:rsidR="00510AD1" w:rsidRDefault="00000000">
            <w:r>
              <w:rPr>
                <w:color w:val="000000"/>
                <w:sz w:val="20"/>
                <w:szCs w:val="20"/>
              </w:rPr>
              <w:t>Wraps all LLM calls with exponential backoff to handle free-tier rate limits gracefully.</w:t>
            </w:r>
          </w:p>
        </w:tc>
      </w:tr>
    </w:tbl>
    <w:p w14:paraId="62D8922C" w14:textId="77777777" w:rsidR="00510AD1" w:rsidRDefault="00510AD1">
      <w:pPr>
        <w:spacing w:after="160"/>
      </w:pPr>
    </w:p>
    <w:p w14:paraId="296C9BF8" w14:textId="77777777" w:rsidR="00510AD1" w:rsidRDefault="00000000">
      <w:pPr>
        <w:pStyle w:val="Heading2"/>
        <w:pBdr>
          <w:bottom w:val="single" w:sz="6" w:space="4" w:color="1F3864"/>
        </w:pBdr>
        <w:spacing w:before="260" w:after="140"/>
      </w:pPr>
      <w:r>
        <w:rPr>
          <w:b/>
          <w:bCs/>
          <w:color w:val="1F3864"/>
        </w:rPr>
        <w:t>3. Key Design Decisions</w:t>
      </w:r>
    </w:p>
    <w:p w14:paraId="46A847D8" w14:textId="77777777" w:rsidR="00510AD1" w:rsidRDefault="00000000">
      <w:pPr>
        <w:pStyle w:val="ListParagraph"/>
        <w:numPr>
          <w:ilvl w:val="0"/>
          <w:numId w:val="2"/>
        </w:numPr>
        <w:spacing w:after="120" w:line="276" w:lineRule="auto"/>
      </w:pPr>
      <w:r>
        <w:rPr>
          <w:b/>
          <w:bCs/>
        </w:rPr>
        <w:lastRenderedPageBreak/>
        <w:t xml:space="preserve">Hybrid audit (cosine-first, LLM-only for ambiguous claims): </w:t>
      </w:r>
      <w:r>
        <w:t>Each generated claim is first scored by cosine similarity against policy chunks. Scores ≥ 0.85 are auto-approved (SUPPORTED); scores &lt; 0.60 are immediately flagged (UNVERIFIABLE). Only the middle band (0.60–0.85) escalates to LLM verification. This minimises token consumption and keeps the pipeline within free-tier limits without sacrificing audit rigour.</w:t>
      </w:r>
    </w:p>
    <w:p w14:paraId="40D8FFA3" w14:textId="77777777" w:rsidR="00510AD1" w:rsidRDefault="00000000">
      <w:pPr>
        <w:pStyle w:val="ListParagraph"/>
        <w:numPr>
          <w:ilvl w:val="0"/>
          <w:numId w:val="2"/>
        </w:numPr>
        <w:spacing w:after="120" w:line="276" w:lineRule="auto"/>
      </w:pPr>
      <w:r>
        <w:rPr>
          <w:b/>
          <w:bCs/>
        </w:rPr>
        <w:t xml:space="preserve">Granular four-category claim labelling: </w:t>
      </w:r>
      <w:r>
        <w:t>The audit produces SUPPORTED / PARTIALLY_SUPPORTED / UNSUPPORTED / UNVERIFIABLE per claim rather than a single pass/fail. Advisors can act on each label differently: approve as-is, edit the nuanced claim, or reject and regenerate the deck.</w:t>
      </w:r>
    </w:p>
    <w:p w14:paraId="5FD3E5B5" w14:textId="46312871" w:rsidR="00510AD1" w:rsidRDefault="00000000">
      <w:pPr>
        <w:pStyle w:val="ListParagraph"/>
        <w:numPr>
          <w:ilvl w:val="0"/>
          <w:numId w:val="2"/>
        </w:numPr>
        <w:spacing w:after="120" w:line="276" w:lineRule="auto"/>
      </w:pPr>
      <w:r>
        <w:rPr>
          <w:b/>
          <w:bCs/>
        </w:rPr>
        <w:t>Offline embedding precomputation (</w:t>
      </w:r>
      <w:proofErr w:type="spellStart"/>
      <w:r>
        <w:rPr>
          <w:b/>
          <w:bCs/>
        </w:rPr>
        <w:t>policy_embeddings.pkl</w:t>
      </w:r>
      <w:proofErr w:type="spellEnd"/>
      <w:r>
        <w:rPr>
          <w:b/>
          <w:bCs/>
        </w:rPr>
        <w:t xml:space="preserve">): </w:t>
      </w:r>
      <w:r>
        <w:t>Policy PDFs are ingested and embedded once via an offline script. At runtime the backend loads the pickle into memory making retrieval instant and removing a critical dependency on an external embedding API being available during generation.</w:t>
      </w:r>
    </w:p>
    <w:p w14:paraId="5F203442" w14:textId="726F7E99" w:rsidR="00510AD1" w:rsidRDefault="00000000">
      <w:pPr>
        <w:pStyle w:val="ListParagraph"/>
        <w:numPr>
          <w:ilvl w:val="0"/>
          <w:numId w:val="2"/>
        </w:numPr>
        <w:spacing w:after="120" w:line="276" w:lineRule="auto"/>
      </w:pPr>
      <w:r>
        <w:rPr>
          <w:b/>
          <w:bCs/>
        </w:rPr>
        <w:t xml:space="preserve">Provider fallback and retry logic: </w:t>
      </w:r>
      <w:r>
        <w:t xml:space="preserve">LLM calls use tenacity-based exponential backoff on HTTP 429s, with automatic failover from </w:t>
      </w:r>
      <w:proofErr w:type="spellStart"/>
      <w:r>
        <w:t>Groq</w:t>
      </w:r>
      <w:proofErr w:type="spellEnd"/>
      <w:r>
        <w:t xml:space="preserve"> to </w:t>
      </w:r>
      <w:r w:rsidR="00E41F32">
        <w:t>Open Router</w:t>
      </w:r>
      <w:r>
        <w:t xml:space="preserve"> free-tier models. Model IDs are environment-variable-configurable, making migration to new model versions straightforward (necessary after </w:t>
      </w:r>
      <w:proofErr w:type="spellStart"/>
      <w:r>
        <w:t>Groq</w:t>
      </w:r>
      <w:proofErr w:type="spellEnd"/>
      <w:r>
        <w:t xml:space="preserve"> deprecated models mid-project).</w:t>
      </w:r>
    </w:p>
    <w:p w14:paraId="7181AA34" w14:textId="77777777" w:rsidR="00510AD1" w:rsidRDefault="00000000">
      <w:pPr>
        <w:pStyle w:val="ListParagraph"/>
        <w:numPr>
          <w:ilvl w:val="0"/>
          <w:numId w:val="2"/>
        </w:numPr>
        <w:spacing w:after="120" w:line="276" w:lineRule="auto"/>
      </w:pPr>
      <w:r>
        <w:rPr>
          <w:b/>
          <w:bCs/>
        </w:rPr>
        <w:t xml:space="preserve">Single-service </w:t>
      </w:r>
      <w:proofErr w:type="spellStart"/>
      <w:r>
        <w:rPr>
          <w:b/>
          <w:bCs/>
        </w:rPr>
        <w:t>FastAPI</w:t>
      </w:r>
      <w:proofErr w:type="spellEnd"/>
      <w:r>
        <w:rPr>
          <w:b/>
          <w:bCs/>
        </w:rPr>
        <w:t xml:space="preserve"> deployment: </w:t>
      </w:r>
      <w:r>
        <w:t xml:space="preserve">Both the API and the static frontend are served from one </w:t>
      </w:r>
      <w:proofErr w:type="spellStart"/>
      <w:r>
        <w:t>FastAPI</w:t>
      </w:r>
      <w:proofErr w:type="spellEnd"/>
      <w:r>
        <w:t xml:space="preserve"> process, simplifying Render free-tier deployment to a single Web Service with zero inter-service networking.</w:t>
      </w:r>
    </w:p>
    <w:p w14:paraId="166B921E" w14:textId="77777777" w:rsidR="00510AD1" w:rsidRDefault="00000000">
      <w:pPr>
        <w:pStyle w:val="Heading2"/>
        <w:pBdr>
          <w:bottom w:val="single" w:sz="6" w:space="4" w:color="1F3864"/>
        </w:pBdr>
        <w:spacing w:before="260" w:after="140"/>
      </w:pPr>
      <w:r>
        <w:rPr>
          <w:b/>
          <w:bCs/>
          <w:color w:val="1F3864"/>
        </w:rPr>
        <w:t>4. Evaluation Highlights</w:t>
      </w:r>
    </w:p>
    <w:p w14:paraId="37D13AE0" w14:textId="5753794D" w:rsidR="00510AD1" w:rsidRDefault="00000000">
      <w:pPr>
        <w:spacing w:after="160" w:line="276" w:lineRule="auto"/>
      </w:pPr>
      <w:r>
        <w:t xml:space="preserve">The pipeline was tested against three real companies </w:t>
      </w:r>
      <w:r>
        <w:rPr>
          <w:b/>
          <w:bCs/>
        </w:rPr>
        <w:t>Infosys</w:t>
      </w:r>
      <w:r>
        <w:t xml:space="preserve"> (18 claims, 66.6% confidence), </w:t>
      </w:r>
      <w:r>
        <w:rPr>
          <w:b/>
          <w:bCs/>
        </w:rPr>
        <w:t>Zomato</w:t>
      </w:r>
      <w:r>
        <w:t xml:space="preserve"> (21 claims, 42.86% confidence), and </w:t>
      </w:r>
      <w:r>
        <w:rPr>
          <w:b/>
          <w:bCs/>
        </w:rPr>
        <w:t>Tata Steel</w:t>
      </w:r>
      <w:r>
        <w:t xml:space="preserve"> (23 claims, 56.52% confidence) using consistent strict thresholds. No deck achieved an overall PASS, confirming the audit is correctly conservative.</w:t>
      </w:r>
    </w:p>
    <w:p w14:paraId="70CC8321" w14:textId="77777777" w:rsidR="00510AD1" w:rsidRDefault="00000000">
      <w:pPr>
        <w:spacing w:after="160" w:line="276" w:lineRule="auto"/>
      </w:pPr>
      <w:r>
        <w:t>Manual review of flagged claims verified that the audit layer caught three genuine hallucination patterns:</w:t>
      </w:r>
    </w:p>
    <w:p w14:paraId="70CF8E6F" w14:textId="0A370E20" w:rsidR="00510AD1" w:rsidRDefault="00000000">
      <w:pPr>
        <w:pStyle w:val="ListParagraph"/>
        <w:numPr>
          <w:ilvl w:val="0"/>
          <w:numId w:val="3"/>
        </w:numPr>
        <w:spacing w:after="120" w:line="276" w:lineRule="auto"/>
      </w:pPr>
      <w:r>
        <w:rPr>
          <w:b/>
          <w:bCs/>
        </w:rPr>
        <w:t xml:space="preserve">Cross-attribution </w:t>
      </w:r>
      <w:r>
        <w:t>a benefit correctly described but attributed to the wrong insurer (e.g., an ABHI benefit claimed as Care Health).</w:t>
      </w:r>
    </w:p>
    <w:p w14:paraId="6598257E" w14:textId="264BB2D1" w:rsidR="00510AD1" w:rsidRDefault="00000000">
      <w:pPr>
        <w:pStyle w:val="ListParagraph"/>
        <w:numPr>
          <w:ilvl w:val="0"/>
          <w:numId w:val="3"/>
        </w:numPr>
        <w:spacing w:after="120" w:line="276" w:lineRule="auto"/>
      </w:pPr>
      <w:r>
        <w:rPr>
          <w:b/>
          <w:bCs/>
        </w:rPr>
        <w:t xml:space="preserve">Fabricated hybrid products </w:t>
      </w:r>
      <w:r>
        <w:t>the LLM invented a policy name combining a base plan from one insurer with riders from another (a product that does not exist).</w:t>
      </w:r>
    </w:p>
    <w:p w14:paraId="18E345A4" w14:textId="480F2D4B" w:rsidR="00510AD1" w:rsidRDefault="00000000">
      <w:pPr>
        <w:pStyle w:val="ListParagraph"/>
        <w:numPr>
          <w:ilvl w:val="0"/>
          <w:numId w:val="3"/>
        </w:numPr>
        <w:spacing w:after="120" w:line="276" w:lineRule="auto"/>
      </w:pPr>
      <w:r>
        <w:rPr>
          <w:b/>
          <w:bCs/>
        </w:rPr>
        <w:t xml:space="preserve">Narrative over-generalisation </w:t>
      </w:r>
      <w:r>
        <w:t>the LLM inferred an unstated promise (earnings protection for gig workers) by connecting two true but unrelated policy facts.</w:t>
      </w:r>
    </w:p>
    <w:p w14:paraId="61F36983" w14:textId="3BF1634B" w:rsidR="00510AD1" w:rsidRPr="00E41F32" w:rsidRDefault="00000000">
      <w:pPr>
        <w:spacing w:before="120" w:after="160" w:line="276" w:lineRule="auto"/>
        <w:rPr>
          <w:b/>
          <w:bCs/>
        </w:rPr>
      </w:pPr>
      <w:r w:rsidRPr="00E41F32">
        <w:rPr>
          <w:b/>
          <w:bCs/>
          <w:i/>
          <w:iCs/>
          <w:color w:val="44546A"/>
        </w:rPr>
        <w:t xml:space="preserve">Retrieval false-negatives were also identified: 3 of Zomato's 7 UNSUPPORTED claims were retrieval misses (valid supporting text existed but was outranked), not genuine </w:t>
      </w:r>
      <w:r w:rsidR="00E41F32" w:rsidRPr="00E41F32">
        <w:rPr>
          <w:b/>
          <w:bCs/>
          <w:i/>
          <w:iCs/>
          <w:color w:val="44546A"/>
        </w:rPr>
        <w:t>hallucinations putting</w:t>
      </w:r>
      <w:r w:rsidRPr="00E41F32">
        <w:rPr>
          <w:b/>
          <w:bCs/>
          <w:i/>
          <w:iCs/>
          <w:color w:val="44546A"/>
        </w:rPr>
        <w:t xml:space="preserve"> the true hallucination rate at ~4. A cross-encoder reranking step is flagged as the clearest next improvement.</w:t>
      </w:r>
    </w:p>
    <w:p w14:paraId="5223A4A0" w14:textId="77777777" w:rsidR="00510AD1" w:rsidRDefault="00000000">
      <w:pPr>
        <w:pStyle w:val="Heading2"/>
        <w:pBdr>
          <w:bottom w:val="single" w:sz="6" w:space="4" w:color="1F3864"/>
        </w:pBdr>
        <w:spacing w:before="260" w:after="140"/>
      </w:pPr>
      <w:r>
        <w:rPr>
          <w:b/>
          <w:bCs/>
          <w:color w:val="1F3864"/>
        </w:rPr>
        <w:t>5. Known Limitations</w:t>
      </w:r>
    </w:p>
    <w:p w14:paraId="3C6F6664" w14:textId="77777777" w:rsidR="00510AD1" w:rsidRDefault="00000000">
      <w:pPr>
        <w:pStyle w:val="ListParagraph"/>
        <w:numPr>
          <w:ilvl w:val="0"/>
          <w:numId w:val="2"/>
        </w:numPr>
        <w:spacing w:after="120" w:line="276" w:lineRule="auto"/>
      </w:pPr>
      <w:r>
        <w:rPr>
          <w:b/>
          <w:bCs/>
        </w:rPr>
        <w:t xml:space="preserve">Render deployment not completed: </w:t>
      </w:r>
      <w:r>
        <w:t xml:space="preserve">The app is fully configured via </w:t>
      </w:r>
      <w:proofErr w:type="spellStart"/>
      <w:proofErr w:type="gramStart"/>
      <w:r>
        <w:t>render.yaml</w:t>
      </w:r>
      <w:proofErr w:type="spellEnd"/>
      <w:proofErr w:type="gramEnd"/>
      <w:r>
        <w:t xml:space="preserve">, but cloud deployment failed due to a platform-specific read-only filesystem issue during Rust dependency compilation. The application runs correctly on a local </w:t>
      </w:r>
      <w:proofErr w:type="spellStart"/>
      <w:r>
        <w:t>uvicorn</w:t>
      </w:r>
      <w:proofErr w:type="spellEnd"/>
      <w:r>
        <w:t xml:space="preserve"> server. Full details are documented in Case_Study_Writeup.md.</w:t>
      </w:r>
    </w:p>
    <w:p w14:paraId="18B7E31F" w14:textId="77777777" w:rsidR="00510AD1" w:rsidRDefault="00000000">
      <w:pPr>
        <w:pStyle w:val="ListParagraph"/>
        <w:numPr>
          <w:ilvl w:val="0"/>
          <w:numId w:val="2"/>
        </w:numPr>
        <w:spacing w:after="120" w:line="276" w:lineRule="auto"/>
      </w:pPr>
      <w:r>
        <w:rPr>
          <w:b/>
          <w:bCs/>
        </w:rPr>
        <w:t xml:space="preserve">Retrieval blind spots on complex claims: </w:t>
      </w:r>
      <w:r>
        <w:t xml:space="preserve">Cosine similarity occasionally misses valid supporting text for comparative or negative-assertion claims (e.g., “Care Health does not cover X”), causing correct facts </w:t>
      </w:r>
      <w:r>
        <w:lastRenderedPageBreak/>
        <w:t xml:space="preserve">to be flagged UNSUPPORTED. Adding a cross-encoder </w:t>
      </w:r>
      <w:proofErr w:type="spellStart"/>
      <w:r>
        <w:t>reranker</w:t>
      </w:r>
      <w:proofErr w:type="spellEnd"/>
      <w:r>
        <w:t xml:space="preserve"> would mitigate this but was out of scope given free-tier constraints.</w:t>
      </w:r>
    </w:p>
    <w:p w14:paraId="6190D91A" w14:textId="77777777" w:rsidR="00510AD1" w:rsidRDefault="00000000">
      <w:pPr>
        <w:pStyle w:val="ListParagraph"/>
        <w:numPr>
          <w:ilvl w:val="0"/>
          <w:numId w:val="2"/>
        </w:numPr>
        <w:spacing w:after="120" w:line="276" w:lineRule="auto"/>
      </w:pPr>
      <w:r>
        <w:rPr>
          <w:b/>
          <w:bCs/>
        </w:rPr>
        <w:t xml:space="preserve">Ephemeral storage on free hosting: </w:t>
      </w:r>
      <w:r>
        <w:t xml:space="preserve">The Render free tier has no persistent disk; dynamically uploaded policies via /admin/add-policy would be lost on restart. Production readiness requires migrating from the pickle store to </w:t>
      </w:r>
      <w:proofErr w:type="spellStart"/>
      <w:r>
        <w:t>Supabase</w:t>
      </w:r>
      <w:proofErr w:type="spellEnd"/>
      <w:r>
        <w:t xml:space="preserve"> with the </w:t>
      </w:r>
      <w:proofErr w:type="spellStart"/>
      <w:r>
        <w:t>pgvector</w:t>
      </w:r>
      <w:proofErr w:type="spellEnd"/>
      <w:r>
        <w:t xml:space="preserve"> extension.</w:t>
      </w:r>
    </w:p>
    <w:p w14:paraId="0CE5A72B" w14:textId="77777777" w:rsidR="00510AD1" w:rsidRDefault="00000000">
      <w:pPr>
        <w:pBdr>
          <w:top w:val="single" w:sz="4" w:space="8" w:color="BFBFBF"/>
        </w:pBdr>
        <w:spacing w:before="200"/>
      </w:pPr>
      <w:r>
        <w:rPr>
          <w:i/>
          <w:iCs/>
          <w:color w:val="595959"/>
          <w:sz w:val="20"/>
          <w:szCs w:val="20"/>
        </w:rPr>
        <w:t>Full write-up with complete prompt logs, per-claim spot-checks, and root-cause analysis: Case_Study_Writeup.md in the repository.</w:t>
      </w:r>
    </w:p>
    <w:sectPr w:rsidR="00510AD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740"/>
    <w:multiLevelType w:val="hybridMultilevel"/>
    <w:tmpl w:val="6868E700"/>
    <w:lvl w:ilvl="0" w:tplc="B284F30A">
      <w:start w:val="1"/>
      <w:numFmt w:val="decimal"/>
      <w:lvlText w:val="%1."/>
      <w:lvlJc w:val="left"/>
      <w:pPr>
        <w:ind w:left="576" w:hanging="360"/>
      </w:pPr>
    </w:lvl>
    <w:lvl w:ilvl="1" w:tplc="512EB69E">
      <w:numFmt w:val="decimal"/>
      <w:lvlText w:val=""/>
      <w:lvlJc w:val="left"/>
    </w:lvl>
    <w:lvl w:ilvl="2" w:tplc="46B4F342">
      <w:numFmt w:val="decimal"/>
      <w:lvlText w:val=""/>
      <w:lvlJc w:val="left"/>
    </w:lvl>
    <w:lvl w:ilvl="3" w:tplc="F60CD638">
      <w:numFmt w:val="decimal"/>
      <w:lvlText w:val=""/>
      <w:lvlJc w:val="left"/>
    </w:lvl>
    <w:lvl w:ilvl="4" w:tplc="D020DDF0">
      <w:numFmt w:val="decimal"/>
      <w:lvlText w:val=""/>
      <w:lvlJc w:val="left"/>
    </w:lvl>
    <w:lvl w:ilvl="5" w:tplc="B986CDB8">
      <w:numFmt w:val="decimal"/>
      <w:lvlText w:val=""/>
      <w:lvlJc w:val="left"/>
    </w:lvl>
    <w:lvl w:ilvl="6" w:tplc="BA583B34">
      <w:numFmt w:val="decimal"/>
      <w:lvlText w:val=""/>
      <w:lvlJc w:val="left"/>
    </w:lvl>
    <w:lvl w:ilvl="7" w:tplc="B6182AD0">
      <w:numFmt w:val="decimal"/>
      <w:lvlText w:val=""/>
      <w:lvlJc w:val="left"/>
    </w:lvl>
    <w:lvl w:ilvl="8" w:tplc="DC38FEB6">
      <w:numFmt w:val="decimal"/>
      <w:lvlText w:val=""/>
      <w:lvlJc w:val="left"/>
    </w:lvl>
  </w:abstractNum>
  <w:abstractNum w:abstractNumId="1" w15:restartNumberingAfterBreak="0">
    <w:nsid w:val="26135664"/>
    <w:multiLevelType w:val="hybridMultilevel"/>
    <w:tmpl w:val="09623096"/>
    <w:lvl w:ilvl="0" w:tplc="61D0FC58">
      <w:start w:val="1"/>
      <w:numFmt w:val="bullet"/>
      <w:lvlText w:val="•"/>
      <w:lvlJc w:val="left"/>
      <w:pPr>
        <w:ind w:left="504" w:hanging="288"/>
      </w:pPr>
    </w:lvl>
    <w:lvl w:ilvl="1" w:tplc="539E3184">
      <w:numFmt w:val="decimal"/>
      <w:lvlText w:val=""/>
      <w:lvlJc w:val="left"/>
    </w:lvl>
    <w:lvl w:ilvl="2" w:tplc="1E28240E">
      <w:numFmt w:val="decimal"/>
      <w:lvlText w:val=""/>
      <w:lvlJc w:val="left"/>
    </w:lvl>
    <w:lvl w:ilvl="3" w:tplc="9244AA9A">
      <w:numFmt w:val="decimal"/>
      <w:lvlText w:val=""/>
      <w:lvlJc w:val="left"/>
    </w:lvl>
    <w:lvl w:ilvl="4" w:tplc="4C7A53F6">
      <w:numFmt w:val="decimal"/>
      <w:lvlText w:val=""/>
      <w:lvlJc w:val="left"/>
    </w:lvl>
    <w:lvl w:ilvl="5" w:tplc="9376916C">
      <w:numFmt w:val="decimal"/>
      <w:lvlText w:val=""/>
      <w:lvlJc w:val="left"/>
    </w:lvl>
    <w:lvl w:ilvl="6" w:tplc="67B4C810">
      <w:numFmt w:val="decimal"/>
      <w:lvlText w:val=""/>
      <w:lvlJc w:val="left"/>
    </w:lvl>
    <w:lvl w:ilvl="7" w:tplc="A4B67FCE">
      <w:numFmt w:val="decimal"/>
      <w:lvlText w:val=""/>
      <w:lvlJc w:val="left"/>
    </w:lvl>
    <w:lvl w:ilvl="8" w:tplc="A300D1D8">
      <w:numFmt w:val="decimal"/>
      <w:lvlText w:val=""/>
      <w:lvlJc w:val="left"/>
    </w:lvl>
  </w:abstractNum>
  <w:abstractNum w:abstractNumId="2" w15:restartNumberingAfterBreak="0">
    <w:nsid w:val="6A1D2FA7"/>
    <w:multiLevelType w:val="hybridMultilevel"/>
    <w:tmpl w:val="A5EE0C38"/>
    <w:lvl w:ilvl="0" w:tplc="2DA68086">
      <w:start w:val="1"/>
      <w:numFmt w:val="bullet"/>
      <w:lvlText w:val="●"/>
      <w:lvlJc w:val="left"/>
      <w:pPr>
        <w:ind w:left="720" w:hanging="360"/>
      </w:pPr>
    </w:lvl>
    <w:lvl w:ilvl="1" w:tplc="1EC6E9FC">
      <w:start w:val="1"/>
      <w:numFmt w:val="bullet"/>
      <w:lvlText w:val="○"/>
      <w:lvlJc w:val="left"/>
      <w:pPr>
        <w:ind w:left="1440" w:hanging="360"/>
      </w:pPr>
    </w:lvl>
    <w:lvl w:ilvl="2" w:tplc="F8A8F112">
      <w:start w:val="1"/>
      <w:numFmt w:val="bullet"/>
      <w:lvlText w:val="■"/>
      <w:lvlJc w:val="left"/>
      <w:pPr>
        <w:ind w:left="2160" w:hanging="360"/>
      </w:pPr>
    </w:lvl>
    <w:lvl w:ilvl="3" w:tplc="C3BC84A8">
      <w:start w:val="1"/>
      <w:numFmt w:val="bullet"/>
      <w:lvlText w:val="●"/>
      <w:lvlJc w:val="left"/>
      <w:pPr>
        <w:ind w:left="2880" w:hanging="360"/>
      </w:pPr>
    </w:lvl>
    <w:lvl w:ilvl="4" w:tplc="AD2020F6">
      <w:start w:val="1"/>
      <w:numFmt w:val="bullet"/>
      <w:lvlText w:val="○"/>
      <w:lvlJc w:val="left"/>
      <w:pPr>
        <w:ind w:left="3600" w:hanging="360"/>
      </w:pPr>
    </w:lvl>
    <w:lvl w:ilvl="5" w:tplc="D06A2FEA">
      <w:start w:val="1"/>
      <w:numFmt w:val="bullet"/>
      <w:lvlText w:val="■"/>
      <w:lvlJc w:val="left"/>
      <w:pPr>
        <w:ind w:left="4320" w:hanging="360"/>
      </w:pPr>
    </w:lvl>
    <w:lvl w:ilvl="6" w:tplc="9DBA5E42">
      <w:start w:val="1"/>
      <w:numFmt w:val="bullet"/>
      <w:lvlText w:val="●"/>
      <w:lvlJc w:val="left"/>
      <w:pPr>
        <w:ind w:left="5040" w:hanging="360"/>
      </w:pPr>
    </w:lvl>
    <w:lvl w:ilvl="7" w:tplc="6BA62F76">
      <w:start w:val="1"/>
      <w:numFmt w:val="bullet"/>
      <w:lvlText w:val="●"/>
      <w:lvlJc w:val="left"/>
      <w:pPr>
        <w:ind w:left="5760" w:hanging="360"/>
      </w:pPr>
    </w:lvl>
    <w:lvl w:ilvl="8" w:tplc="48FA0844">
      <w:start w:val="1"/>
      <w:numFmt w:val="bullet"/>
      <w:lvlText w:val="●"/>
      <w:lvlJc w:val="left"/>
      <w:pPr>
        <w:ind w:left="6480" w:hanging="360"/>
      </w:pPr>
    </w:lvl>
  </w:abstractNum>
  <w:num w:numId="1" w16cid:durableId="840853484">
    <w:abstractNumId w:val="2"/>
    <w:lvlOverride w:ilvl="0">
      <w:startOverride w:val="1"/>
    </w:lvlOverride>
  </w:num>
  <w:num w:numId="2" w16cid:durableId="878125795">
    <w:abstractNumId w:val="1"/>
    <w:lvlOverride w:ilvl="0">
      <w:startOverride w:val="1"/>
    </w:lvlOverride>
  </w:num>
  <w:num w:numId="3" w16cid:durableId="668601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AD1"/>
    <w:rsid w:val="00510AD1"/>
    <w:rsid w:val="009A4992"/>
    <w:rsid w:val="00E41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FA4C"/>
  <w15:docId w15:val="{6503FDC1-2D84-4597-9679-FE00635F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Krishana Sharma</cp:lastModifiedBy>
  <cp:revision>2</cp:revision>
  <dcterms:created xsi:type="dcterms:W3CDTF">2026-09-26T13:12:00Z</dcterms:created>
  <dcterms:modified xsi:type="dcterms:W3CDTF">2026-09-26T13:18:00Z</dcterms:modified>
</cp:coreProperties>
</file>