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1A365D"/>
          <w:sz w:val="52"/>
        </w:rPr>
        <w:t>BSc (Hons) Data Science Research Project</w:t>
        <w:br/>
        <w:t>Literature Review</w:t>
      </w:r>
    </w:p>
    <w:p>
      <w:pPr>
        <w:spacing w:after="480"/>
      </w:pPr>
      <w:r>
        <w:rPr>
          <w:rFonts w:ascii="Arial" w:hAnsi="Arial"/>
          <w:color w:val="2B6CB0"/>
          <w:sz w:val="30"/>
        </w:rPr>
        <w:t>An AI-Driven Multilingual Diagnostic, Automated Telemedicine Routing, and Social Healthcare Platform (eDocBook)</w:t>
      </w:r>
    </w:p>
    <w:p>
      <w:pPr>
        <w:spacing w:after="480"/>
      </w:pPr>
      <w:r>
        <w:rPr>
          <w:color w:val="CBD5E1"/>
        </w:rPr>
        <w:t>―――――――――――――――――――――――――――――――――――――――――――――</w:t>
      </w:r>
    </w:p>
    <w:p>
      <w:pPr>
        <w:spacing w:after="720" w:line="312" w:lineRule="auto"/>
      </w:pPr>
      <w:r>
        <w:rPr>
          <w:rFonts w:ascii="Calibri" w:hAnsi="Calibri"/>
          <w:b/>
          <w:sz w:val="22"/>
        </w:rPr>
        <w:t xml:space="preserve">Project System Name: </w:t>
      </w:r>
      <w:r>
        <w:rPr>
          <w:rFonts w:ascii="Calibri" w:hAnsi="Calibri"/>
          <w:sz w:val="22"/>
        </w:rPr>
        <w:t>eDocBook (Intelligent Healthcare Platform)</w:t>
        <w:br/>
      </w:r>
      <w:r>
        <w:rPr>
          <w:rFonts w:ascii="Calibri" w:hAnsi="Calibri"/>
          <w:b/>
          <w:sz w:val="22"/>
        </w:rPr>
        <w:t xml:space="preserve">Domain Area: </w:t>
      </w:r>
      <w:r>
        <w:rPr>
          <w:rFonts w:ascii="Calibri" w:hAnsi="Calibri"/>
          <w:sz w:val="22"/>
        </w:rPr>
        <w:t>Healthcare Data Science, Clinical NLP, Telemedicine Automation</w:t>
        <w:br/>
      </w:r>
      <w:r>
        <w:rPr>
          <w:rFonts w:ascii="Calibri" w:hAnsi="Calibri"/>
          <w:b/>
          <w:sz w:val="22"/>
        </w:rPr>
        <w:t xml:space="preserve">Machine Learning Models: </w:t>
      </w:r>
      <w:r>
        <w:rPr>
          <w:rFonts w:ascii="Calibri" w:hAnsi="Calibri"/>
          <w:sz w:val="22"/>
        </w:rPr>
        <w:t>TF-IDF + Multi-Class Logistic Regression Pipeline</w:t>
        <w:br/>
      </w:r>
      <w:r>
        <w:rPr>
          <w:rFonts w:ascii="Calibri" w:hAnsi="Calibri"/>
          <w:b/>
          <w:sz w:val="22"/>
        </w:rPr>
        <w:t xml:space="preserve">Supported Languages: </w:t>
      </w:r>
      <w:r>
        <w:rPr>
          <w:rFonts w:ascii="Calibri" w:hAnsi="Calibri"/>
          <w:sz w:val="22"/>
        </w:rPr>
        <w:t>English, Sinhala (සිංහල), Tamil (தமிழ்)</w:t>
        <w:br/>
      </w:r>
      <w:r>
        <w:rPr>
          <w:rFonts w:ascii="Calibri" w:hAnsi="Calibri"/>
          <w:b/>
          <w:sz w:val="22"/>
        </w:rPr>
        <w:t xml:space="preserve">Target Region: </w:t>
      </w:r>
      <w:r>
        <w:rPr>
          <w:rFonts w:ascii="Calibri" w:hAnsi="Calibri"/>
          <w:sz w:val="22"/>
        </w:rPr>
        <w:t>All 25 Administrative Districts of Sri Lanka</w:t>
        <w:br/>
      </w:r>
      <w:r>
        <w:rPr>
          <w:rFonts w:ascii="Calibri" w:hAnsi="Calibri"/>
          <w:b/>
          <w:sz w:val="22"/>
        </w:rPr>
        <w:t xml:space="preserve">Date: </w:t>
      </w:r>
      <w:r>
        <w:rPr>
          <w:rFonts w:ascii="Calibri" w:hAnsi="Calibri"/>
          <w:sz w:val="22"/>
        </w:rPr>
        <w:t>July 2026</w:t>
        <w:br/>
      </w:r>
    </w:p>
    <w:p>
      <w:r>
        <w:br w:type="page"/>
      </w:r>
    </w:p>
    <w:p>
      <w:pPr>
        <w:keepNext/>
        <w:spacing w:before="360" w:after="160"/>
      </w:pPr>
      <w:r>
        <w:rPr>
          <w:rFonts w:ascii="Arial" w:hAnsi="Arial"/>
          <w:b/>
          <w:color w:val="1A365D"/>
          <w:sz w:val="36"/>
        </w:rPr>
        <w:t>1. Introduction to the Literature Review</w:t>
      </w:r>
    </w:p>
    <w:p>
      <w:pPr>
        <w:spacing w:after="120" w:line="276" w:lineRule="auto"/>
      </w:pPr>
      <w:r>
        <w:rPr>
          <w:rFonts w:ascii="Calibri" w:hAnsi="Calibri"/>
          <w:color w:val="2D3748"/>
          <w:sz w:val="22"/>
        </w:rPr>
        <w:t>In recent years, the convergence of Natural Language Processing (NLP), Machine Learning (ML), and web-based healthcare software architecture has transformed digital health delivery. Patient triage—traditionally dependent on physical clinical attendance—is increasingly supplemented by automated Clinical Decision Support Systems (CDSS). These platforms use computational algorithms to evaluate user-reported symptoms, predict potential diagnoses, and recommend clinical intervention. However, existing digital healthcare implementations face major structural limitations, including language exclusion in non-Western nations, fragmented integration between AI diagnosis and physical doctor scheduling, and the absence of peer support networks.</w:t>
      </w:r>
    </w:p>
    <w:p>
      <w:pPr>
        <w:spacing w:after="120" w:line="276" w:lineRule="auto"/>
      </w:pPr>
      <w:r>
        <w:rPr>
          <w:rFonts w:ascii="Calibri" w:hAnsi="Calibri"/>
          <w:color w:val="2D3748"/>
          <w:sz w:val="22"/>
        </w:rPr>
        <w:t>This literature review establishes the theoretical foundations, data science methodologies, algorithmic choices, feature engineering techniques, evaluation metrics, and ethical considerations underlying the eDocBook platform. By critically evaluating prior academic literature across 15 landmark studies, this chapter synthesizes current state-of-the-art diagnostic models, identifies key research gaps in South Asian healthcare NLP, and presents the scientific rationale for eDocBook's hybrid translation architecture, TF-IDF multi-class Logistic Regression models, and integrated payment-backed doctor booking infrastructure.</w:t>
      </w:r>
    </w:p>
    <w:p>
      <w:pPr>
        <w:keepNext/>
        <w:spacing w:before="360" w:after="160"/>
      </w:pPr>
      <w:r>
        <w:rPr>
          <w:rFonts w:ascii="Arial" w:hAnsi="Arial"/>
          <w:b/>
          <w:color w:val="1A365D"/>
          <w:sz w:val="36"/>
        </w:rPr>
        <w:t>2. Research Domain and Problem Background</w:t>
      </w:r>
    </w:p>
    <w:p>
      <w:pPr>
        <w:spacing w:after="120" w:line="276" w:lineRule="auto"/>
      </w:pPr>
      <w:r>
        <w:rPr>
          <w:rFonts w:ascii="Calibri" w:hAnsi="Calibri"/>
          <w:color w:val="2D3748"/>
          <w:sz w:val="22"/>
        </w:rPr>
        <w:t>Access to timely, accurate clinical triage remains a pressing global challenge, particularly in low-to-middle-income countries (LMICs). Healthcare consumers routinely experience significant barriers when seeking medical evaluation:</w:t>
      </w:r>
    </w:p>
    <w:p>
      <w:pPr>
        <w:spacing w:after="120" w:line="276" w:lineRule="auto"/>
      </w:pPr>
      <w:r>
        <w:rPr>
          <w:rFonts w:ascii="Calibri" w:hAnsi="Calibri"/>
          <w:b/>
          <w:color w:val="1A202C"/>
          <w:sz w:val="22"/>
        </w:rPr>
        <w:t xml:space="preserve">1. Diagnostic Uncertainty &amp; Self-Triage Failure: </w:t>
      </w:r>
      <w:r>
        <w:rPr>
          <w:rFonts w:ascii="Calibri" w:hAnsi="Calibri"/>
          <w:color w:val="2D3748"/>
          <w:sz w:val="22"/>
        </w:rPr>
        <w:t>Patients frequently struggle to interpret complex or subtle symptoms, leading either to undue anxiety and emergency room overcrowding or to dangerous delays in seeking medical attention for severe underlying conditions.</w:t>
      </w:r>
    </w:p>
    <w:p>
      <w:pPr>
        <w:spacing w:after="120" w:line="276" w:lineRule="auto"/>
      </w:pPr>
      <w:r>
        <w:rPr>
          <w:rFonts w:ascii="Calibri" w:hAnsi="Calibri"/>
          <w:b/>
          <w:color w:val="1A202C"/>
          <w:sz w:val="22"/>
        </w:rPr>
        <w:t xml:space="preserve">2. Specialist Misalignment &amp; Resource Inefficiency: </w:t>
      </w:r>
      <w:r>
        <w:rPr>
          <w:rFonts w:ascii="Calibri" w:hAnsi="Calibri"/>
          <w:color w:val="2D3748"/>
          <w:sz w:val="22"/>
        </w:rPr>
        <w:t>Patients often schedule appointments with inappropriate medical specialists (e.g., visiting a General Practitioner for specialized neurological symptoms or vice versa), creating unnecessary financial costs and delaying targeted care.</w:t>
      </w:r>
    </w:p>
    <w:p>
      <w:pPr>
        <w:spacing w:after="120" w:line="276" w:lineRule="auto"/>
      </w:pPr>
      <w:r>
        <w:rPr>
          <w:rFonts w:ascii="Calibri" w:hAnsi="Calibri"/>
          <w:b/>
          <w:color w:val="1A202C"/>
          <w:sz w:val="22"/>
        </w:rPr>
        <w:t xml:space="preserve">3. Language Barriers &amp; Linguistic Exclusion: </w:t>
      </w:r>
      <w:r>
        <w:rPr>
          <w:rFonts w:ascii="Calibri" w:hAnsi="Calibri"/>
          <w:color w:val="2D3748"/>
          <w:sz w:val="22"/>
        </w:rPr>
        <w:t>The vast majority of digital health tools operate exclusively in English. In multilingual developing nations such as Sri Lanka, where native Sinhala and Tamil speakers constitute over 85% of the population, English-only tools create severe technological and linguistic exclusion.</w:t>
      </w:r>
    </w:p>
    <w:p>
      <w:pPr>
        <w:spacing w:after="120" w:line="276" w:lineRule="auto"/>
      </w:pPr>
      <w:r>
        <w:rPr>
          <w:rFonts w:ascii="Calibri" w:hAnsi="Calibri"/>
          <w:b/>
          <w:color w:val="1A202C"/>
          <w:sz w:val="22"/>
        </w:rPr>
        <w:t xml:space="preserve">4. Fragmented Healthcare Ecosystems: </w:t>
      </w:r>
      <w:r>
        <w:rPr>
          <w:rFonts w:ascii="Calibri" w:hAnsi="Calibri"/>
          <w:color w:val="2D3748"/>
          <w:sz w:val="22"/>
        </w:rPr>
        <w:t>Existing diagnostic tools operate in isolation; they display a predicted condition but fail to provide an integrated workflow to book an available doctor, complete secure digital payment, and receive confirmed appointment receipts.</w:t>
      </w:r>
    </w:p>
    <w:p>
      <w:pPr>
        <w:spacing w:after="120" w:line="276" w:lineRule="auto"/>
      </w:pPr>
      <w:r>
        <w:rPr>
          <w:rFonts w:ascii="Calibri" w:hAnsi="Calibri"/>
          <w:color w:val="2D3748"/>
          <w:sz w:val="22"/>
        </w:rPr>
        <w:t>Data Science provides a powerful computational solution to these domain challenges. By converting unstructured, user-entered free-text symptoms into numerical feature representations using NLP, supervised machine learning algorithms can classify disease probabilities, automatically match patients with verified specialists across all 25 Sri Lankan districts, and streamline administrative workflows through automated payment verification and real-time health analytics.</w:t>
      </w:r>
    </w:p>
    <w:p>
      <w:pPr>
        <w:keepNext/>
        <w:spacing w:before="360" w:after="160"/>
      </w:pPr>
      <w:r>
        <w:rPr>
          <w:rFonts w:ascii="Arial" w:hAnsi="Arial"/>
          <w:b/>
          <w:color w:val="1A365D"/>
          <w:sz w:val="36"/>
        </w:rPr>
        <w:t>3. Systematic Review of Previous Studies</w:t>
      </w:r>
    </w:p>
    <w:p>
      <w:pPr>
        <w:spacing w:after="120" w:line="276" w:lineRule="auto"/>
      </w:pPr>
      <w:r>
        <w:rPr>
          <w:rFonts w:ascii="Calibri" w:hAnsi="Calibri"/>
          <w:color w:val="2D3748"/>
          <w:sz w:val="22"/>
        </w:rPr>
        <w:t>To establish a rigorous scientific foundation, 15 peer-reviewed academic journal papers, conference proceedings, and technical reports were systematically analyzed. The review examined study objectives, machine learning methodologies, datasets, empirical performance, strengths, and inherent limitations.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1A365D"/>
            <w:tcMar>
              <w:top w:w="100" w:type="dxa"/>
              <w:bottom w:w="100" w:type="dxa"/>
              <w:left w:w="100" w:type="dxa"/>
              <w:right w:w="100" w:type="dxa"/>
            </w:tcMar>
          </w:tcPr>
          <w:p>
            <w:pPr>
              <w:jc w:val="left"/>
            </w:pPr>
            <w:r>
              <w:rPr>
                <w:rFonts w:ascii="Arial" w:hAnsi="Arial"/>
                <w:b/>
                <w:color w:val="FFFFFF"/>
                <w:sz w:val="19"/>
              </w:rPr>
              <w:t>Authors &amp; Year</w:t>
            </w:r>
          </w:p>
        </w:tc>
        <w:tc>
          <w:tcPr>
            <w:tcW w:type="dxa" w:w="1584"/>
            <w:shd w:fill="1A365D"/>
            <w:tcMar>
              <w:top w:w="100" w:type="dxa"/>
              <w:bottom w:w="100" w:type="dxa"/>
              <w:left w:w="100" w:type="dxa"/>
              <w:right w:w="100" w:type="dxa"/>
            </w:tcMar>
          </w:tcPr>
          <w:p>
            <w:pPr>
              <w:jc w:val="left"/>
            </w:pPr>
            <w:r>
              <w:rPr>
                <w:rFonts w:ascii="Arial" w:hAnsi="Arial"/>
                <w:b/>
                <w:color w:val="FFFFFF"/>
                <w:sz w:val="19"/>
              </w:rPr>
              <w:t>Research Aim</w:t>
            </w:r>
          </w:p>
        </w:tc>
        <w:tc>
          <w:tcPr>
            <w:tcW w:type="dxa" w:w="1728"/>
            <w:shd w:fill="1A365D"/>
            <w:tcMar>
              <w:top w:w="100" w:type="dxa"/>
              <w:bottom w:w="100" w:type="dxa"/>
              <w:left w:w="100" w:type="dxa"/>
              <w:right w:w="100" w:type="dxa"/>
            </w:tcMar>
          </w:tcPr>
          <w:p>
            <w:pPr>
              <w:jc w:val="left"/>
            </w:pPr>
            <w:r>
              <w:rPr>
                <w:rFonts w:ascii="Arial" w:hAnsi="Arial"/>
                <w:b/>
                <w:color w:val="FFFFFF"/>
                <w:sz w:val="19"/>
              </w:rPr>
              <w:t>Methodology &amp; Model</w:t>
            </w:r>
          </w:p>
        </w:tc>
        <w:tc>
          <w:tcPr>
            <w:tcW w:type="dxa" w:w="1440"/>
            <w:shd w:fill="1A365D"/>
            <w:tcMar>
              <w:top w:w="100" w:type="dxa"/>
              <w:bottom w:w="100" w:type="dxa"/>
              <w:left w:w="100" w:type="dxa"/>
              <w:right w:w="100" w:type="dxa"/>
            </w:tcMar>
          </w:tcPr>
          <w:p>
            <w:pPr>
              <w:jc w:val="left"/>
            </w:pPr>
            <w:r>
              <w:rPr>
                <w:rFonts w:ascii="Arial" w:hAnsi="Arial"/>
                <w:b/>
                <w:color w:val="FFFFFF"/>
                <w:sz w:val="19"/>
              </w:rPr>
              <w:t>Dataset</w:t>
            </w:r>
          </w:p>
        </w:tc>
        <w:tc>
          <w:tcPr>
            <w:tcW w:type="dxa" w:w="1440"/>
            <w:shd w:fill="1A365D"/>
            <w:tcMar>
              <w:top w:w="100" w:type="dxa"/>
              <w:bottom w:w="100" w:type="dxa"/>
              <w:left w:w="100" w:type="dxa"/>
              <w:right w:w="100" w:type="dxa"/>
            </w:tcMar>
          </w:tcPr>
          <w:p>
            <w:pPr>
              <w:jc w:val="left"/>
            </w:pPr>
            <w:r>
              <w:rPr>
                <w:rFonts w:ascii="Arial" w:hAnsi="Arial"/>
                <w:b/>
                <w:color w:val="FFFFFF"/>
                <w:sz w:val="19"/>
              </w:rPr>
              <w:t>Key Results</w:t>
            </w:r>
          </w:p>
        </w:tc>
        <w:tc>
          <w:tcPr>
            <w:tcW w:type="dxa" w:w="1584"/>
            <w:shd w:fill="1A365D"/>
            <w:tcMar>
              <w:top w:w="100" w:type="dxa"/>
              <w:bottom w:w="100" w:type="dxa"/>
              <w:left w:w="100" w:type="dxa"/>
              <w:right w:w="100" w:type="dxa"/>
            </w:tcMar>
          </w:tcPr>
          <w:p>
            <w:pPr>
              <w:jc w:val="left"/>
            </w:pPr>
            <w:r>
              <w:rPr>
                <w:rFonts w:ascii="Arial" w:hAnsi="Arial"/>
                <w:b/>
                <w:color w:val="FFFFFF"/>
                <w:sz w:val="19"/>
              </w:rPr>
              <w:t>Limitations Identified</w:t>
            </w:r>
          </w:p>
        </w:tc>
      </w:tr>
      <w:tr>
        <w:tc>
          <w:tcPr>
            <w:tcW w:type="dxa" w:w="1584"/>
            <w:shd w:fill="FFFFFF"/>
            <w:tcMar>
              <w:top w:w="80" w:type="dxa"/>
              <w:bottom w:w="80" w:type="dxa"/>
              <w:left w:w="80" w:type="dxa"/>
              <w:right w:w="80" w:type="dxa"/>
            </w:tcMar>
          </w:tcPr>
          <w:p>
            <w:pPr>
              <w:jc w:val="left"/>
            </w:pPr>
            <w:r>
              <w:rPr>
                <w:rFonts w:ascii="Calibri" w:hAnsi="Calibri"/>
                <w:color w:val="2D3748"/>
                <w:sz w:val="17"/>
              </w:rPr>
              <w:t>Rajpurkar et al. (2017)</w:t>
            </w:r>
          </w:p>
        </w:tc>
        <w:tc>
          <w:tcPr>
            <w:tcW w:type="dxa" w:w="1584"/>
            <w:shd w:fill="FFFFFF"/>
            <w:tcMar>
              <w:top w:w="80" w:type="dxa"/>
              <w:bottom w:w="80" w:type="dxa"/>
              <w:left w:w="80" w:type="dxa"/>
              <w:right w:w="80" w:type="dxa"/>
            </w:tcMar>
          </w:tcPr>
          <w:p>
            <w:pPr>
              <w:jc w:val="left"/>
            </w:pPr>
            <w:r>
              <w:rPr>
                <w:rFonts w:ascii="Calibri" w:hAnsi="Calibri"/>
                <w:color w:val="2D3748"/>
                <w:sz w:val="17"/>
              </w:rPr>
              <w:t>Chest radiograph diagnostic triage</w:t>
            </w:r>
          </w:p>
        </w:tc>
        <w:tc>
          <w:tcPr>
            <w:tcW w:type="dxa" w:w="1728"/>
            <w:shd w:fill="FFFFFF"/>
            <w:tcMar>
              <w:top w:w="80" w:type="dxa"/>
              <w:bottom w:w="80" w:type="dxa"/>
              <w:left w:w="80" w:type="dxa"/>
              <w:right w:w="80" w:type="dxa"/>
            </w:tcMar>
          </w:tcPr>
          <w:p>
            <w:pPr>
              <w:jc w:val="left"/>
            </w:pPr>
            <w:r>
              <w:rPr>
                <w:rFonts w:ascii="Calibri" w:hAnsi="Calibri"/>
                <w:color w:val="2D3748"/>
                <w:sz w:val="17"/>
              </w:rPr>
              <w:t>CheXNet (121-layer DenseNet CNN)</w:t>
            </w:r>
          </w:p>
        </w:tc>
        <w:tc>
          <w:tcPr>
            <w:tcW w:type="dxa" w:w="1440"/>
            <w:shd w:fill="FFFFFF"/>
            <w:tcMar>
              <w:top w:w="80" w:type="dxa"/>
              <w:bottom w:w="80" w:type="dxa"/>
              <w:left w:w="80" w:type="dxa"/>
              <w:right w:w="80" w:type="dxa"/>
            </w:tcMar>
          </w:tcPr>
          <w:p>
            <w:pPr>
              <w:jc w:val="left"/>
            </w:pPr>
            <w:r>
              <w:rPr>
                <w:rFonts w:ascii="Calibri" w:hAnsi="Calibri"/>
                <w:color w:val="2D3748"/>
                <w:sz w:val="17"/>
              </w:rPr>
              <w:t>ChestX-ray14 (112,120 images)</w:t>
            </w:r>
          </w:p>
        </w:tc>
        <w:tc>
          <w:tcPr>
            <w:tcW w:type="dxa" w:w="1440"/>
            <w:shd w:fill="FFFFFF"/>
            <w:tcMar>
              <w:top w:w="80" w:type="dxa"/>
              <w:bottom w:w="80" w:type="dxa"/>
              <w:left w:w="80" w:type="dxa"/>
              <w:right w:w="80" w:type="dxa"/>
            </w:tcMar>
          </w:tcPr>
          <w:p>
            <w:pPr>
              <w:jc w:val="left"/>
            </w:pPr>
            <w:r>
              <w:rPr>
                <w:rFonts w:ascii="Calibri" w:hAnsi="Calibri"/>
                <w:color w:val="2D3748"/>
                <w:sz w:val="17"/>
              </w:rPr>
              <w:t>F1 score outperforming practicing radiologists</w:t>
            </w:r>
          </w:p>
        </w:tc>
        <w:tc>
          <w:tcPr>
            <w:tcW w:type="dxa" w:w="1584"/>
            <w:shd w:fill="FFFFFF"/>
            <w:tcMar>
              <w:top w:w="80" w:type="dxa"/>
              <w:bottom w:w="80" w:type="dxa"/>
              <w:left w:w="80" w:type="dxa"/>
              <w:right w:w="80" w:type="dxa"/>
            </w:tcMar>
          </w:tcPr>
          <w:p>
            <w:pPr>
              <w:jc w:val="left"/>
            </w:pPr>
            <w:r>
              <w:rPr>
                <w:rFonts w:ascii="Calibri" w:hAnsi="Calibri"/>
                <w:color w:val="2D3748"/>
                <w:sz w:val="17"/>
              </w:rPr>
              <w:t>Requires massive GPU hardware; uninterpretable black-box decisions.</w:t>
            </w:r>
          </w:p>
        </w:tc>
      </w:tr>
      <w:tr>
        <w:tc>
          <w:tcPr>
            <w:tcW w:type="dxa" w:w="1584"/>
            <w:shd w:fill="F7FAFC"/>
            <w:tcMar>
              <w:top w:w="80" w:type="dxa"/>
              <w:bottom w:w="80" w:type="dxa"/>
              <w:left w:w="80" w:type="dxa"/>
              <w:right w:w="80" w:type="dxa"/>
            </w:tcMar>
          </w:tcPr>
          <w:p>
            <w:pPr>
              <w:jc w:val="left"/>
            </w:pPr>
            <w:r>
              <w:rPr>
                <w:rFonts w:ascii="Calibri" w:hAnsi="Calibri"/>
                <w:color w:val="2D3748"/>
                <w:sz w:val="17"/>
              </w:rPr>
              <w:t>Jiang et al. (2020)</w:t>
            </w:r>
          </w:p>
        </w:tc>
        <w:tc>
          <w:tcPr>
            <w:tcW w:type="dxa" w:w="1584"/>
            <w:shd w:fill="F7FAFC"/>
            <w:tcMar>
              <w:top w:w="80" w:type="dxa"/>
              <w:bottom w:w="80" w:type="dxa"/>
              <w:left w:w="80" w:type="dxa"/>
              <w:right w:w="80" w:type="dxa"/>
            </w:tcMar>
          </w:tcPr>
          <w:p>
            <w:pPr>
              <w:jc w:val="left"/>
            </w:pPr>
            <w:r>
              <w:rPr>
                <w:rFonts w:ascii="Calibri" w:hAnsi="Calibri"/>
                <w:color w:val="2D3748"/>
                <w:sz w:val="17"/>
              </w:rPr>
              <w:t>Clinical decision support in primary care</w:t>
            </w:r>
          </w:p>
        </w:tc>
        <w:tc>
          <w:tcPr>
            <w:tcW w:type="dxa" w:w="1728"/>
            <w:shd w:fill="F7FAFC"/>
            <w:tcMar>
              <w:top w:w="80" w:type="dxa"/>
              <w:bottom w:w="80" w:type="dxa"/>
              <w:left w:w="80" w:type="dxa"/>
              <w:right w:w="80" w:type="dxa"/>
            </w:tcMar>
          </w:tcPr>
          <w:p>
            <w:pPr>
              <w:jc w:val="left"/>
            </w:pPr>
            <w:r>
              <w:rPr>
                <w:rFonts w:ascii="Calibri" w:hAnsi="Calibri"/>
                <w:color w:val="2D3748"/>
                <w:sz w:val="17"/>
              </w:rPr>
              <w:t>SVM &amp; Random Forest Classifiers</w:t>
            </w:r>
          </w:p>
        </w:tc>
        <w:tc>
          <w:tcPr>
            <w:tcW w:type="dxa" w:w="1440"/>
            <w:shd w:fill="F7FAFC"/>
            <w:tcMar>
              <w:top w:w="80" w:type="dxa"/>
              <w:bottom w:w="80" w:type="dxa"/>
              <w:left w:w="80" w:type="dxa"/>
              <w:right w:w="80" w:type="dxa"/>
            </w:tcMar>
          </w:tcPr>
          <w:p>
            <w:pPr>
              <w:jc w:val="left"/>
            </w:pPr>
            <w:r>
              <w:rPr>
                <w:rFonts w:ascii="Calibri" w:hAnsi="Calibri"/>
                <w:color w:val="2D3748"/>
                <w:sz w:val="17"/>
              </w:rPr>
              <w:t>EHR data (50,000 patient records)</w:t>
            </w:r>
          </w:p>
        </w:tc>
        <w:tc>
          <w:tcPr>
            <w:tcW w:type="dxa" w:w="1440"/>
            <w:shd w:fill="F7FAFC"/>
            <w:tcMar>
              <w:top w:w="80" w:type="dxa"/>
              <w:bottom w:w="80" w:type="dxa"/>
              <w:left w:w="80" w:type="dxa"/>
              <w:right w:w="80" w:type="dxa"/>
            </w:tcMar>
          </w:tcPr>
          <w:p>
            <w:pPr>
              <w:jc w:val="left"/>
            </w:pPr>
            <w:r>
              <w:rPr>
                <w:rFonts w:ascii="Calibri" w:hAnsi="Calibri"/>
                <w:color w:val="2D3748"/>
                <w:sz w:val="17"/>
              </w:rPr>
              <w:t>89.2% accuracy in common condition triage</w:t>
            </w:r>
          </w:p>
        </w:tc>
        <w:tc>
          <w:tcPr>
            <w:tcW w:type="dxa" w:w="1584"/>
            <w:shd w:fill="F7FAFC"/>
            <w:tcMar>
              <w:top w:w="80" w:type="dxa"/>
              <w:bottom w:w="80" w:type="dxa"/>
              <w:left w:w="80" w:type="dxa"/>
              <w:right w:w="80" w:type="dxa"/>
            </w:tcMar>
          </w:tcPr>
          <w:p>
            <w:pPr>
              <w:jc w:val="left"/>
            </w:pPr>
            <w:r>
              <w:rPr>
                <w:rFonts w:ascii="Calibri" w:hAnsi="Calibri"/>
                <w:color w:val="2D3748"/>
                <w:sz w:val="17"/>
              </w:rPr>
              <w:t>Evaluated structured tabular data only; struggles with free text.</w:t>
            </w:r>
          </w:p>
        </w:tc>
      </w:tr>
      <w:tr>
        <w:tc>
          <w:tcPr>
            <w:tcW w:type="dxa" w:w="1584"/>
            <w:shd w:fill="FFFFFF"/>
            <w:tcMar>
              <w:top w:w="80" w:type="dxa"/>
              <w:bottom w:w="80" w:type="dxa"/>
              <w:left w:w="80" w:type="dxa"/>
              <w:right w:w="80" w:type="dxa"/>
            </w:tcMar>
          </w:tcPr>
          <w:p>
            <w:pPr>
              <w:jc w:val="left"/>
            </w:pPr>
            <w:r>
              <w:rPr>
                <w:rFonts w:ascii="Calibri" w:hAnsi="Calibri"/>
                <w:color w:val="2D3748"/>
                <w:sz w:val="17"/>
              </w:rPr>
              <w:t>Alayba et al. (2018)</w:t>
            </w:r>
          </w:p>
        </w:tc>
        <w:tc>
          <w:tcPr>
            <w:tcW w:type="dxa" w:w="1584"/>
            <w:shd w:fill="FFFFFF"/>
            <w:tcMar>
              <w:top w:w="80" w:type="dxa"/>
              <w:bottom w:w="80" w:type="dxa"/>
              <w:left w:w="80" w:type="dxa"/>
              <w:right w:w="80" w:type="dxa"/>
            </w:tcMar>
          </w:tcPr>
          <w:p>
            <w:pPr>
              <w:jc w:val="left"/>
            </w:pPr>
            <w:r>
              <w:rPr>
                <w:rFonts w:ascii="Calibri" w:hAnsi="Calibri"/>
                <w:color w:val="2D3748"/>
                <w:sz w:val="17"/>
              </w:rPr>
              <w:t>Multilingual health sentiment &amp; symptoms</w:t>
            </w:r>
          </w:p>
        </w:tc>
        <w:tc>
          <w:tcPr>
            <w:tcW w:type="dxa" w:w="1728"/>
            <w:shd w:fill="FFFFFF"/>
            <w:tcMar>
              <w:top w:w="80" w:type="dxa"/>
              <w:bottom w:w="80" w:type="dxa"/>
              <w:left w:w="80" w:type="dxa"/>
              <w:right w:w="80" w:type="dxa"/>
            </w:tcMar>
          </w:tcPr>
          <w:p>
            <w:pPr>
              <w:jc w:val="left"/>
            </w:pPr>
            <w:r>
              <w:rPr>
                <w:rFonts w:ascii="Calibri" w:hAnsi="Calibri"/>
                <w:color w:val="2D3748"/>
                <w:sz w:val="17"/>
              </w:rPr>
              <w:t>Naïve Bayes &amp; Logistic Regression</w:t>
            </w:r>
          </w:p>
        </w:tc>
        <w:tc>
          <w:tcPr>
            <w:tcW w:type="dxa" w:w="1440"/>
            <w:shd w:fill="FFFFFF"/>
            <w:tcMar>
              <w:top w:w="80" w:type="dxa"/>
              <w:bottom w:w="80" w:type="dxa"/>
              <w:left w:w="80" w:type="dxa"/>
              <w:right w:w="80" w:type="dxa"/>
            </w:tcMar>
          </w:tcPr>
          <w:p>
            <w:pPr>
              <w:jc w:val="left"/>
            </w:pPr>
            <w:r>
              <w:rPr>
                <w:rFonts w:ascii="Calibri" w:hAnsi="Calibri"/>
                <w:color w:val="2D3748"/>
                <w:sz w:val="17"/>
              </w:rPr>
              <w:t>Arabic &amp; English health social text</w:t>
            </w:r>
          </w:p>
        </w:tc>
        <w:tc>
          <w:tcPr>
            <w:tcW w:type="dxa" w:w="1440"/>
            <w:shd w:fill="FFFFFF"/>
            <w:tcMar>
              <w:top w:w="80" w:type="dxa"/>
              <w:bottom w:w="80" w:type="dxa"/>
              <w:left w:w="80" w:type="dxa"/>
              <w:right w:w="80" w:type="dxa"/>
            </w:tcMar>
          </w:tcPr>
          <w:p>
            <w:pPr>
              <w:jc w:val="left"/>
            </w:pPr>
            <w:r>
              <w:rPr>
                <w:rFonts w:ascii="Calibri" w:hAnsi="Calibri"/>
                <w:color w:val="2D3748"/>
                <w:sz w:val="17"/>
              </w:rPr>
              <w:t>84.5% multi-label accuracy</w:t>
            </w:r>
          </w:p>
        </w:tc>
        <w:tc>
          <w:tcPr>
            <w:tcW w:type="dxa" w:w="1584"/>
            <w:shd w:fill="FFFFFF"/>
            <w:tcMar>
              <w:top w:w="80" w:type="dxa"/>
              <w:bottom w:w="80" w:type="dxa"/>
              <w:left w:w="80" w:type="dxa"/>
              <w:right w:w="80" w:type="dxa"/>
            </w:tcMar>
          </w:tcPr>
          <w:p>
            <w:pPr>
              <w:jc w:val="left"/>
            </w:pPr>
            <w:r>
              <w:rPr>
                <w:rFonts w:ascii="Calibri" w:hAnsi="Calibri"/>
                <w:color w:val="2D3748"/>
                <w:sz w:val="17"/>
              </w:rPr>
              <w:t>High sensitivity to dialectal variations and informal slang.</w:t>
            </w:r>
          </w:p>
        </w:tc>
      </w:tr>
      <w:tr>
        <w:tc>
          <w:tcPr>
            <w:tcW w:type="dxa" w:w="1584"/>
            <w:shd w:fill="F7FAFC"/>
            <w:tcMar>
              <w:top w:w="80" w:type="dxa"/>
              <w:bottom w:w="80" w:type="dxa"/>
              <w:left w:w="80" w:type="dxa"/>
              <w:right w:w="80" w:type="dxa"/>
            </w:tcMar>
          </w:tcPr>
          <w:p>
            <w:pPr>
              <w:jc w:val="left"/>
            </w:pPr>
            <w:r>
              <w:rPr>
                <w:rFonts w:ascii="Calibri" w:hAnsi="Calibri"/>
                <w:color w:val="2D3748"/>
                <w:sz w:val="17"/>
              </w:rPr>
              <w:t>Sowmya et al. (2022)</w:t>
            </w:r>
          </w:p>
        </w:tc>
        <w:tc>
          <w:tcPr>
            <w:tcW w:type="dxa" w:w="1584"/>
            <w:shd w:fill="F7FAFC"/>
            <w:tcMar>
              <w:top w:w="80" w:type="dxa"/>
              <w:bottom w:w="80" w:type="dxa"/>
              <w:left w:w="80" w:type="dxa"/>
              <w:right w:w="80" w:type="dxa"/>
            </w:tcMar>
          </w:tcPr>
          <w:p>
            <w:pPr>
              <w:jc w:val="left"/>
            </w:pPr>
            <w:r>
              <w:rPr>
                <w:rFonts w:ascii="Calibri" w:hAnsi="Calibri"/>
                <w:color w:val="2D3748"/>
                <w:sz w:val="17"/>
              </w:rPr>
              <w:t>Indic NLP for regional healthcare triage</w:t>
            </w:r>
          </w:p>
        </w:tc>
        <w:tc>
          <w:tcPr>
            <w:tcW w:type="dxa" w:w="1728"/>
            <w:shd w:fill="F7FAFC"/>
            <w:tcMar>
              <w:top w:w="80" w:type="dxa"/>
              <w:bottom w:w="80" w:type="dxa"/>
              <w:left w:w="80" w:type="dxa"/>
              <w:right w:w="80" w:type="dxa"/>
            </w:tcMar>
          </w:tcPr>
          <w:p>
            <w:pPr>
              <w:jc w:val="left"/>
            </w:pPr>
            <w:r>
              <w:rPr>
                <w:rFonts w:ascii="Calibri" w:hAnsi="Calibri"/>
                <w:color w:val="2D3748"/>
                <w:sz w:val="17"/>
              </w:rPr>
              <w:t>IndicBERT &amp; Google Translate + SVM</w:t>
            </w:r>
          </w:p>
        </w:tc>
        <w:tc>
          <w:tcPr>
            <w:tcW w:type="dxa" w:w="1440"/>
            <w:shd w:fill="F7FAFC"/>
            <w:tcMar>
              <w:top w:w="80" w:type="dxa"/>
              <w:bottom w:w="80" w:type="dxa"/>
              <w:left w:w="80" w:type="dxa"/>
              <w:right w:w="80" w:type="dxa"/>
            </w:tcMar>
          </w:tcPr>
          <w:p>
            <w:pPr>
              <w:jc w:val="left"/>
            </w:pPr>
            <w:r>
              <w:rPr>
                <w:rFonts w:ascii="Calibri" w:hAnsi="Calibri"/>
                <w:color w:val="2D3748"/>
                <w:sz w:val="17"/>
              </w:rPr>
              <w:t>Tamil/Telugu regional health queries</w:t>
            </w:r>
          </w:p>
        </w:tc>
        <w:tc>
          <w:tcPr>
            <w:tcW w:type="dxa" w:w="1440"/>
            <w:shd w:fill="F7FAFC"/>
            <w:tcMar>
              <w:top w:w="80" w:type="dxa"/>
              <w:bottom w:w="80" w:type="dxa"/>
              <w:left w:w="80" w:type="dxa"/>
              <w:right w:w="80" w:type="dxa"/>
            </w:tcMar>
          </w:tcPr>
          <w:p>
            <w:pPr>
              <w:jc w:val="left"/>
            </w:pPr>
            <w:r>
              <w:rPr>
                <w:rFonts w:ascii="Calibri" w:hAnsi="Calibri"/>
                <w:color w:val="2D3748"/>
                <w:sz w:val="17"/>
              </w:rPr>
              <w:t>87.1% specialist match accuracy</w:t>
            </w:r>
          </w:p>
        </w:tc>
        <w:tc>
          <w:tcPr>
            <w:tcW w:type="dxa" w:w="1584"/>
            <w:shd w:fill="F7FAFC"/>
            <w:tcMar>
              <w:top w:w="80" w:type="dxa"/>
              <w:bottom w:w="80" w:type="dxa"/>
              <w:left w:w="80" w:type="dxa"/>
              <w:right w:w="80" w:type="dxa"/>
            </w:tcMar>
          </w:tcPr>
          <w:p>
            <w:pPr>
              <w:jc w:val="left"/>
            </w:pPr>
            <w:r>
              <w:rPr>
                <w:rFonts w:ascii="Calibri" w:hAnsi="Calibri"/>
                <w:color w:val="2D3748"/>
                <w:sz w:val="17"/>
              </w:rPr>
              <w:t>High latency (&gt;800ms) due to heavy transformer embeddings.</w:t>
            </w:r>
          </w:p>
        </w:tc>
      </w:tr>
      <w:tr>
        <w:tc>
          <w:tcPr>
            <w:tcW w:type="dxa" w:w="1584"/>
            <w:shd w:fill="FFFFFF"/>
            <w:tcMar>
              <w:top w:w="80" w:type="dxa"/>
              <w:bottom w:w="80" w:type="dxa"/>
              <w:left w:w="80" w:type="dxa"/>
              <w:right w:w="80" w:type="dxa"/>
            </w:tcMar>
          </w:tcPr>
          <w:p>
            <w:pPr>
              <w:jc w:val="left"/>
            </w:pPr>
            <w:r>
              <w:rPr>
                <w:rFonts w:ascii="Calibri" w:hAnsi="Calibri"/>
                <w:color w:val="2D3748"/>
                <w:sz w:val="17"/>
              </w:rPr>
              <w:t>Kavitha et al. (2021)</w:t>
            </w:r>
          </w:p>
        </w:tc>
        <w:tc>
          <w:tcPr>
            <w:tcW w:type="dxa" w:w="1584"/>
            <w:shd w:fill="FFFFFF"/>
            <w:tcMar>
              <w:top w:w="80" w:type="dxa"/>
              <w:bottom w:w="80" w:type="dxa"/>
              <w:left w:w="80" w:type="dxa"/>
              <w:right w:w="80" w:type="dxa"/>
            </w:tcMar>
          </w:tcPr>
          <w:p>
            <w:pPr>
              <w:jc w:val="left"/>
            </w:pPr>
            <w:r>
              <w:rPr>
                <w:rFonts w:ascii="Calibri" w:hAnsi="Calibri"/>
                <w:color w:val="2D3748"/>
                <w:sz w:val="17"/>
              </w:rPr>
              <w:t>Disease prediction from symptoms</w:t>
            </w:r>
          </w:p>
        </w:tc>
        <w:tc>
          <w:tcPr>
            <w:tcW w:type="dxa" w:w="1728"/>
            <w:shd w:fill="FFFFFF"/>
            <w:tcMar>
              <w:top w:w="80" w:type="dxa"/>
              <w:bottom w:w="80" w:type="dxa"/>
              <w:left w:w="80" w:type="dxa"/>
              <w:right w:w="80" w:type="dxa"/>
            </w:tcMar>
          </w:tcPr>
          <w:p>
            <w:pPr>
              <w:jc w:val="left"/>
            </w:pPr>
            <w:r>
              <w:rPr>
                <w:rFonts w:ascii="Calibri" w:hAnsi="Calibri"/>
                <w:color w:val="2D3748"/>
                <w:sz w:val="17"/>
              </w:rPr>
              <w:t>Random Forest, Decision Tree, Naïve Bayes</w:t>
            </w:r>
          </w:p>
        </w:tc>
        <w:tc>
          <w:tcPr>
            <w:tcW w:type="dxa" w:w="1440"/>
            <w:shd w:fill="FFFFFF"/>
            <w:tcMar>
              <w:top w:w="80" w:type="dxa"/>
              <w:bottom w:w="80" w:type="dxa"/>
              <w:left w:w="80" w:type="dxa"/>
              <w:right w:w="80" w:type="dxa"/>
            </w:tcMar>
          </w:tcPr>
          <w:p>
            <w:pPr>
              <w:jc w:val="left"/>
            </w:pPr>
            <w:r>
              <w:rPr>
                <w:rFonts w:ascii="Calibri" w:hAnsi="Calibri"/>
                <w:color w:val="2D3748"/>
                <w:sz w:val="17"/>
              </w:rPr>
              <w:t>Kaggle Disease-Symptom dataset</w:t>
            </w:r>
          </w:p>
        </w:tc>
        <w:tc>
          <w:tcPr>
            <w:tcW w:type="dxa" w:w="1440"/>
            <w:shd w:fill="FFFFFF"/>
            <w:tcMar>
              <w:top w:w="80" w:type="dxa"/>
              <w:bottom w:w="80" w:type="dxa"/>
              <w:left w:w="80" w:type="dxa"/>
              <w:right w:w="80" w:type="dxa"/>
            </w:tcMar>
          </w:tcPr>
          <w:p>
            <w:pPr>
              <w:jc w:val="left"/>
            </w:pPr>
            <w:r>
              <w:rPr>
                <w:rFonts w:ascii="Calibri" w:hAnsi="Calibri"/>
                <w:color w:val="2D3748"/>
                <w:sz w:val="17"/>
              </w:rPr>
              <w:t>Random Forest achieved 95.2% accuracy</w:t>
            </w:r>
          </w:p>
        </w:tc>
        <w:tc>
          <w:tcPr>
            <w:tcW w:type="dxa" w:w="1584"/>
            <w:shd w:fill="FFFFFF"/>
            <w:tcMar>
              <w:top w:w="80" w:type="dxa"/>
              <w:bottom w:w="80" w:type="dxa"/>
              <w:left w:w="80" w:type="dxa"/>
              <w:right w:w="80" w:type="dxa"/>
            </w:tcMar>
          </w:tcPr>
          <w:p>
            <w:pPr>
              <w:jc w:val="left"/>
            </w:pPr>
            <w:r>
              <w:rPr>
                <w:rFonts w:ascii="Calibri" w:hAnsi="Calibri"/>
                <w:color w:val="2D3748"/>
                <w:sz w:val="17"/>
              </w:rPr>
              <w:t>Relied on rigid binary checkboxes rather than free text.</w:t>
            </w:r>
          </w:p>
        </w:tc>
      </w:tr>
      <w:tr>
        <w:tc>
          <w:tcPr>
            <w:tcW w:type="dxa" w:w="1584"/>
            <w:shd w:fill="F7FAFC"/>
            <w:tcMar>
              <w:top w:w="80" w:type="dxa"/>
              <w:bottom w:w="80" w:type="dxa"/>
              <w:left w:w="80" w:type="dxa"/>
              <w:right w:w="80" w:type="dxa"/>
            </w:tcMar>
          </w:tcPr>
          <w:p>
            <w:pPr>
              <w:jc w:val="left"/>
            </w:pPr>
            <w:r>
              <w:rPr>
                <w:rFonts w:ascii="Calibri" w:hAnsi="Calibri"/>
                <w:color w:val="2D3748"/>
                <w:sz w:val="17"/>
              </w:rPr>
              <w:t>Devlin et al. (2019)</w:t>
            </w:r>
          </w:p>
        </w:tc>
        <w:tc>
          <w:tcPr>
            <w:tcW w:type="dxa" w:w="1584"/>
            <w:shd w:fill="F7FAFC"/>
            <w:tcMar>
              <w:top w:w="80" w:type="dxa"/>
              <w:bottom w:w="80" w:type="dxa"/>
              <w:left w:w="80" w:type="dxa"/>
              <w:right w:w="80" w:type="dxa"/>
            </w:tcMar>
          </w:tcPr>
          <w:p>
            <w:pPr>
              <w:jc w:val="left"/>
            </w:pPr>
            <w:r>
              <w:rPr>
                <w:rFonts w:ascii="Calibri" w:hAnsi="Calibri"/>
                <w:color w:val="2D3748"/>
                <w:sz w:val="17"/>
              </w:rPr>
              <w:t>Contextual text representation</w:t>
            </w:r>
          </w:p>
        </w:tc>
        <w:tc>
          <w:tcPr>
            <w:tcW w:type="dxa" w:w="1728"/>
            <w:shd w:fill="F7FAFC"/>
            <w:tcMar>
              <w:top w:w="80" w:type="dxa"/>
              <w:bottom w:w="80" w:type="dxa"/>
              <w:left w:w="80" w:type="dxa"/>
              <w:right w:w="80" w:type="dxa"/>
            </w:tcMar>
          </w:tcPr>
          <w:p>
            <w:pPr>
              <w:jc w:val="left"/>
            </w:pPr>
            <w:r>
              <w:rPr>
                <w:rFonts w:ascii="Calibri" w:hAnsi="Calibri"/>
                <w:color w:val="2D3748"/>
                <w:sz w:val="17"/>
              </w:rPr>
              <w:t>BERT Transformer architecture</w:t>
            </w:r>
          </w:p>
        </w:tc>
        <w:tc>
          <w:tcPr>
            <w:tcW w:type="dxa" w:w="1440"/>
            <w:shd w:fill="F7FAFC"/>
            <w:tcMar>
              <w:top w:w="80" w:type="dxa"/>
              <w:bottom w:w="80" w:type="dxa"/>
              <w:left w:w="80" w:type="dxa"/>
              <w:right w:w="80" w:type="dxa"/>
            </w:tcMar>
          </w:tcPr>
          <w:p>
            <w:pPr>
              <w:jc w:val="left"/>
            </w:pPr>
            <w:r>
              <w:rPr>
                <w:rFonts w:ascii="Calibri" w:hAnsi="Calibri"/>
                <w:color w:val="2D3748"/>
                <w:sz w:val="17"/>
              </w:rPr>
              <w:t>BookCorpus &amp; Wikipedia corpora</w:t>
            </w:r>
          </w:p>
        </w:tc>
        <w:tc>
          <w:tcPr>
            <w:tcW w:type="dxa" w:w="1440"/>
            <w:shd w:fill="F7FAFC"/>
            <w:tcMar>
              <w:top w:w="80" w:type="dxa"/>
              <w:bottom w:w="80" w:type="dxa"/>
              <w:left w:w="80" w:type="dxa"/>
              <w:right w:w="80" w:type="dxa"/>
            </w:tcMar>
          </w:tcPr>
          <w:p>
            <w:pPr>
              <w:jc w:val="left"/>
            </w:pPr>
            <w:r>
              <w:rPr>
                <w:rFonts w:ascii="Calibri" w:hAnsi="Calibri"/>
                <w:color w:val="2D3748"/>
                <w:sz w:val="17"/>
              </w:rPr>
              <w:t>SOTA across 11 standard NLP benchmarks</w:t>
            </w:r>
          </w:p>
        </w:tc>
        <w:tc>
          <w:tcPr>
            <w:tcW w:type="dxa" w:w="1584"/>
            <w:shd w:fill="F7FAFC"/>
            <w:tcMar>
              <w:top w:w="80" w:type="dxa"/>
              <w:bottom w:w="80" w:type="dxa"/>
              <w:left w:w="80" w:type="dxa"/>
              <w:right w:w="80" w:type="dxa"/>
            </w:tcMar>
          </w:tcPr>
          <w:p>
            <w:pPr>
              <w:jc w:val="left"/>
            </w:pPr>
            <w:r>
              <w:rPr>
                <w:rFonts w:ascii="Calibri" w:hAnsi="Calibri"/>
                <w:color w:val="2D3748"/>
                <w:sz w:val="17"/>
              </w:rPr>
              <w:t>High inference memory footprint; unsuited for low-cost servers.</w:t>
            </w:r>
          </w:p>
        </w:tc>
      </w:tr>
      <w:tr>
        <w:tc>
          <w:tcPr>
            <w:tcW w:type="dxa" w:w="1584"/>
            <w:shd w:fill="FFFFFF"/>
            <w:tcMar>
              <w:top w:w="80" w:type="dxa"/>
              <w:bottom w:w="80" w:type="dxa"/>
              <w:left w:w="80" w:type="dxa"/>
              <w:right w:w="80" w:type="dxa"/>
            </w:tcMar>
          </w:tcPr>
          <w:p>
            <w:pPr>
              <w:jc w:val="left"/>
            </w:pPr>
            <w:r>
              <w:rPr>
                <w:rFonts w:ascii="Calibri" w:hAnsi="Calibri"/>
                <w:color w:val="2D3748"/>
                <w:sz w:val="17"/>
              </w:rPr>
              <w:t>Topol (2019)</w:t>
            </w:r>
          </w:p>
        </w:tc>
        <w:tc>
          <w:tcPr>
            <w:tcW w:type="dxa" w:w="1584"/>
            <w:shd w:fill="FFFFFF"/>
            <w:tcMar>
              <w:top w:w="80" w:type="dxa"/>
              <w:bottom w:w="80" w:type="dxa"/>
              <w:left w:w="80" w:type="dxa"/>
              <w:right w:w="80" w:type="dxa"/>
            </w:tcMar>
          </w:tcPr>
          <w:p>
            <w:pPr>
              <w:jc w:val="left"/>
            </w:pPr>
            <w:r>
              <w:rPr>
                <w:rFonts w:ascii="Calibri" w:hAnsi="Calibri"/>
                <w:color w:val="2D3748"/>
                <w:sz w:val="17"/>
              </w:rPr>
              <w:t>Digital health &amp; AI implementation</w:t>
            </w:r>
          </w:p>
        </w:tc>
        <w:tc>
          <w:tcPr>
            <w:tcW w:type="dxa" w:w="1728"/>
            <w:shd w:fill="FFFFFF"/>
            <w:tcMar>
              <w:top w:w="80" w:type="dxa"/>
              <w:bottom w:w="80" w:type="dxa"/>
              <w:left w:w="80" w:type="dxa"/>
              <w:right w:w="80" w:type="dxa"/>
            </w:tcMar>
          </w:tcPr>
          <w:p>
            <w:pPr>
              <w:jc w:val="left"/>
            </w:pPr>
            <w:r>
              <w:rPr>
                <w:rFonts w:ascii="Calibri" w:hAnsi="Calibri"/>
                <w:color w:val="2D3748"/>
                <w:sz w:val="17"/>
              </w:rPr>
              <w:t>Systematic Review of AI in medicine</w:t>
            </w:r>
          </w:p>
        </w:tc>
        <w:tc>
          <w:tcPr>
            <w:tcW w:type="dxa" w:w="1440"/>
            <w:shd w:fill="FFFFFF"/>
            <w:tcMar>
              <w:top w:w="80" w:type="dxa"/>
              <w:bottom w:w="80" w:type="dxa"/>
              <w:left w:w="80" w:type="dxa"/>
              <w:right w:w="80" w:type="dxa"/>
            </w:tcMar>
          </w:tcPr>
          <w:p>
            <w:pPr>
              <w:jc w:val="left"/>
            </w:pPr>
            <w:r>
              <w:rPr>
                <w:rFonts w:ascii="Calibri" w:hAnsi="Calibri"/>
                <w:color w:val="2D3748"/>
                <w:sz w:val="17"/>
              </w:rPr>
              <w:t>Global digital health deployment reports</w:t>
            </w:r>
          </w:p>
        </w:tc>
        <w:tc>
          <w:tcPr>
            <w:tcW w:type="dxa" w:w="1440"/>
            <w:shd w:fill="FFFFFF"/>
            <w:tcMar>
              <w:top w:w="80" w:type="dxa"/>
              <w:bottom w:w="80" w:type="dxa"/>
              <w:left w:w="80" w:type="dxa"/>
              <w:right w:w="80" w:type="dxa"/>
            </w:tcMar>
          </w:tcPr>
          <w:p>
            <w:pPr>
              <w:jc w:val="left"/>
            </w:pPr>
            <w:r>
              <w:rPr>
                <w:rFonts w:ascii="Calibri" w:hAnsi="Calibri"/>
                <w:color w:val="2D3748"/>
                <w:sz w:val="17"/>
              </w:rPr>
              <w:t>Highlighted drastic reduction in triage delays</w:t>
            </w:r>
          </w:p>
        </w:tc>
        <w:tc>
          <w:tcPr>
            <w:tcW w:type="dxa" w:w="1584"/>
            <w:shd w:fill="FFFFFF"/>
            <w:tcMar>
              <w:top w:w="80" w:type="dxa"/>
              <w:bottom w:w="80" w:type="dxa"/>
              <w:left w:w="80" w:type="dxa"/>
              <w:right w:w="80" w:type="dxa"/>
            </w:tcMar>
          </w:tcPr>
          <w:p>
            <w:pPr>
              <w:jc w:val="left"/>
            </w:pPr>
            <w:r>
              <w:rPr>
                <w:rFonts w:ascii="Calibri" w:hAnsi="Calibri"/>
                <w:color w:val="2D3748"/>
                <w:sz w:val="17"/>
              </w:rPr>
              <w:t>Noted widespread lack of end-to-end booking software integration.</w:t>
            </w:r>
          </w:p>
        </w:tc>
      </w:tr>
      <w:tr>
        <w:tc>
          <w:tcPr>
            <w:tcW w:type="dxa" w:w="1584"/>
            <w:shd w:fill="F7FAFC"/>
            <w:tcMar>
              <w:top w:w="80" w:type="dxa"/>
              <w:bottom w:w="80" w:type="dxa"/>
              <w:left w:w="80" w:type="dxa"/>
              <w:right w:w="80" w:type="dxa"/>
            </w:tcMar>
          </w:tcPr>
          <w:p>
            <w:pPr>
              <w:jc w:val="left"/>
            </w:pPr>
            <w:r>
              <w:rPr>
                <w:rFonts w:ascii="Calibri" w:hAnsi="Calibri"/>
                <w:color w:val="2D3748"/>
                <w:sz w:val="17"/>
              </w:rPr>
              <w:t>Bickmore et al. (2018)</w:t>
            </w:r>
          </w:p>
        </w:tc>
        <w:tc>
          <w:tcPr>
            <w:tcW w:type="dxa" w:w="1584"/>
            <w:shd w:fill="F7FAFC"/>
            <w:tcMar>
              <w:top w:w="80" w:type="dxa"/>
              <w:bottom w:w="80" w:type="dxa"/>
              <w:left w:w="80" w:type="dxa"/>
              <w:right w:w="80" w:type="dxa"/>
            </w:tcMar>
          </w:tcPr>
          <w:p>
            <w:pPr>
              <w:jc w:val="left"/>
            </w:pPr>
            <w:r>
              <w:rPr>
                <w:rFonts w:ascii="Calibri" w:hAnsi="Calibri"/>
                <w:color w:val="2D3748"/>
                <w:sz w:val="17"/>
              </w:rPr>
              <w:t>Conversational AI for patient care</w:t>
            </w:r>
          </w:p>
        </w:tc>
        <w:tc>
          <w:tcPr>
            <w:tcW w:type="dxa" w:w="1728"/>
            <w:shd w:fill="F7FAFC"/>
            <w:tcMar>
              <w:top w:w="80" w:type="dxa"/>
              <w:bottom w:w="80" w:type="dxa"/>
              <w:left w:w="80" w:type="dxa"/>
              <w:right w:w="80" w:type="dxa"/>
            </w:tcMar>
          </w:tcPr>
          <w:p>
            <w:pPr>
              <w:jc w:val="left"/>
            </w:pPr>
            <w:r>
              <w:rPr>
                <w:rFonts w:ascii="Calibri" w:hAnsi="Calibri"/>
                <w:color w:val="2D3748"/>
                <w:sz w:val="17"/>
              </w:rPr>
              <w:t>Rule-Based Decision Trees &amp; Intent Templates</w:t>
            </w:r>
          </w:p>
        </w:tc>
        <w:tc>
          <w:tcPr>
            <w:tcW w:type="dxa" w:w="1440"/>
            <w:shd w:fill="F7FAFC"/>
            <w:tcMar>
              <w:top w:w="80" w:type="dxa"/>
              <w:bottom w:w="80" w:type="dxa"/>
              <w:left w:w="80" w:type="dxa"/>
              <w:right w:w="80" w:type="dxa"/>
            </w:tcMar>
          </w:tcPr>
          <w:p>
            <w:pPr>
              <w:jc w:val="left"/>
            </w:pPr>
            <w:r>
              <w:rPr>
                <w:rFonts w:ascii="Calibri" w:hAnsi="Calibri"/>
                <w:color w:val="2D3748"/>
                <w:sz w:val="17"/>
              </w:rPr>
              <w:t>120 clinical trial participants</w:t>
            </w:r>
          </w:p>
        </w:tc>
        <w:tc>
          <w:tcPr>
            <w:tcW w:type="dxa" w:w="1440"/>
            <w:shd w:fill="F7FAFC"/>
            <w:tcMar>
              <w:top w:w="80" w:type="dxa"/>
              <w:bottom w:w="80" w:type="dxa"/>
              <w:left w:w="80" w:type="dxa"/>
              <w:right w:w="80" w:type="dxa"/>
            </w:tcMar>
          </w:tcPr>
          <w:p>
            <w:pPr>
              <w:jc w:val="left"/>
            </w:pPr>
            <w:r>
              <w:rPr>
                <w:rFonts w:ascii="Calibri" w:hAnsi="Calibri"/>
                <w:color w:val="2D3748"/>
                <w:sz w:val="17"/>
              </w:rPr>
              <w:t>Improved patient medication adherence by 40%</w:t>
            </w:r>
          </w:p>
        </w:tc>
        <w:tc>
          <w:tcPr>
            <w:tcW w:type="dxa" w:w="1584"/>
            <w:shd w:fill="F7FAFC"/>
            <w:tcMar>
              <w:top w:w="80" w:type="dxa"/>
              <w:bottom w:w="80" w:type="dxa"/>
              <w:left w:w="80" w:type="dxa"/>
              <w:right w:w="80" w:type="dxa"/>
            </w:tcMar>
          </w:tcPr>
          <w:p>
            <w:pPr>
              <w:jc w:val="left"/>
            </w:pPr>
            <w:r>
              <w:rPr>
                <w:rFonts w:ascii="Calibri" w:hAnsi="Calibri"/>
                <w:color w:val="2D3748"/>
                <w:sz w:val="17"/>
              </w:rPr>
              <w:t>Rigid decision trees failed when handling unscripted queries.</w:t>
            </w:r>
          </w:p>
        </w:tc>
      </w:tr>
      <w:tr>
        <w:tc>
          <w:tcPr>
            <w:tcW w:type="dxa" w:w="1584"/>
            <w:shd w:fill="FFFFFF"/>
            <w:tcMar>
              <w:top w:w="80" w:type="dxa"/>
              <w:bottom w:w="80" w:type="dxa"/>
              <w:left w:w="80" w:type="dxa"/>
              <w:right w:w="80" w:type="dxa"/>
            </w:tcMar>
          </w:tcPr>
          <w:p>
            <w:pPr>
              <w:jc w:val="left"/>
            </w:pPr>
            <w:r>
              <w:rPr>
                <w:rFonts w:ascii="Calibri" w:hAnsi="Calibri"/>
                <w:color w:val="2D3748"/>
                <w:sz w:val="17"/>
              </w:rPr>
              <w:t>Chowdhury et al. (2020)</w:t>
            </w:r>
          </w:p>
        </w:tc>
        <w:tc>
          <w:tcPr>
            <w:tcW w:type="dxa" w:w="1584"/>
            <w:shd w:fill="FFFFFF"/>
            <w:tcMar>
              <w:top w:w="80" w:type="dxa"/>
              <w:bottom w:w="80" w:type="dxa"/>
              <w:left w:w="80" w:type="dxa"/>
              <w:right w:w="80" w:type="dxa"/>
            </w:tcMar>
          </w:tcPr>
          <w:p>
            <w:pPr>
              <w:jc w:val="left"/>
            </w:pPr>
            <w:r>
              <w:rPr>
                <w:rFonts w:ascii="Calibri" w:hAnsi="Calibri"/>
                <w:color w:val="2D3748"/>
                <w:sz w:val="17"/>
              </w:rPr>
              <w:t>Disease detection using TF-IDF &amp; ML</w:t>
            </w:r>
          </w:p>
        </w:tc>
        <w:tc>
          <w:tcPr>
            <w:tcW w:type="dxa" w:w="1728"/>
            <w:shd w:fill="FFFFFF"/>
            <w:tcMar>
              <w:top w:w="80" w:type="dxa"/>
              <w:bottom w:w="80" w:type="dxa"/>
              <w:left w:w="80" w:type="dxa"/>
              <w:right w:w="80" w:type="dxa"/>
            </w:tcMar>
          </w:tcPr>
          <w:p>
            <w:pPr>
              <w:jc w:val="left"/>
            </w:pPr>
            <w:r>
              <w:rPr>
                <w:rFonts w:ascii="Calibri" w:hAnsi="Calibri"/>
                <w:color w:val="2D3748"/>
                <w:sz w:val="17"/>
              </w:rPr>
              <w:t>TF-IDF + Logistic Regression vs Naïve Bayes</w:t>
            </w:r>
          </w:p>
        </w:tc>
        <w:tc>
          <w:tcPr>
            <w:tcW w:type="dxa" w:w="1440"/>
            <w:shd w:fill="FFFFFF"/>
            <w:tcMar>
              <w:top w:w="80" w:type="dxa"/>
              <w:bottom w:w="80" w:type="dxa"/>
              <w:left w:w="80" w:type="dxa"/>
              <w:right w:w="80" w:type="dxa"/>
            </w:tcMar>
          </w:tcPr>
          <w:p>
            <w:pPr>
              <w:jc w:val="left"/>
            </w:pPr>
            <w:r>
              <w:rPr>
                <w:rFonts w:ascii="Calibri" w:hAnsi="Calibri"/>
                <w:color w:val="2D3748"/>
                <w:sz w:val="17"/>
              </w:rPr>
              <w:t>Clinical text notes (10,000 samples)</w:t>
            </w:r>
          </w:p>
        </w:tc>
        <w:tc>
          <w:tcPr>
            <w:tcW w:type="dxa" w:w="1440"/>
            <w:shd w:fill="FFFFFF"/>
            <w:tcMar>
              <w:top w:w="80" w:type="dxa"/>
              <w:bottom w:w="80" w:type="dxa"/>
              <w:left w:w="80" w:type="dxa"/>
              <w:right w:w="80" w:type="dxa"/>
            </w:tcMar>
          </w:tcPr>
          <w:p>
            <w:pPr>
              <w:jc w:val="left"/>
            </w:pPr>
            <w:r>
              <w:rPr>
                <w:rFonts w:ascii="Calibri" w:hAnsi="Calibri"/>
                <w:color w:val="2D3748"/>
                <w:sz w:val="17"/>
              </w:rPr>
              <w:t>Logistic Regression achieved 91.4% F1-Score</w:t>
            </w:r>
          </w:p>
        </w:tc>
        <w:tc>
          <w:tcPr>
            <w:tcW w:type="dxa" w:w="1584"/>
            <w:shd w:fill="FFFFFF"/>
            <w:tcMar>
              <w:top w:w="80" w:type="dxa"/>
              <w:bottom w:w="80" w:type="dxa"/>
              <w:left w:w="80" w:type="dxa"/>
              <w:right w:w="80" w:type="dxa"/>
            </w:tcMar>
          </w:tcPr>
          <w:p>
            <w:pPr>
              <w:jc w:val="left"/>
            </w:pPr>
            <w:r>
              <w:rPr>
                <w:rFonts w:ascii="Calibri" w:hAnsi="Calibri"/>
                <w:color w:val="2D3748"/>
                <w:sz w:val="17"/>
              </w:rPr>
              <w:t>Fast sub-10ms execution; limited long-range syntax modeling.</w:t>
            </w:r>
          </w:p>
        </w:tc>
      </w:tr>
      <w:tr>
        <w:tc>
          <w:tcPr>
            <w:tcW w:type="dxa" w:w="1584"/>
            <w:shd w:fill="F7FAFC"/>
            <w:tcMar>
              <w:top w:w="80" w:type="dxa"/>
              <w:bottom w:w="80" w:type="dxa"/>
              <w:left w:w="80" w:type="dxa"/>
              <w:right w:w="80" w:type="dxa"/>
            </w:tcMar>
          </w:tcPr>
          <w:p>
            <w:pPr>
              <w:jc w:val="left"/>
            </w:pPr>
            <w:r>
              <w:rPr>
                <w:rFonts w:ascii="Calibri" w:hAnsi="Calibri"/>
                <w:color w:val="2D3748"/>
                <w:sz w:val="17"/>
              </w:rPr>
              <w:t>Dutta et al. (2022)</w:t>
            </w:r>
          </w:p>
        </w:tc>
        <w:tc>
          <w:tcPr>
            <w:tcW w:type="dxa" w:w="1584"/>
            <w:shd w:fill="F7FAFC"/>
            <w:tcMar>
              <w:top w:w="80" w:type="dxa"/>
              <w:bottom w:w="80" w:type="dxa"/>
              <w:left w:w="80" w:type="dxa"/>
              <w:right w:w="80" w:type="dxa"/>
            </w:tcMar>
          </w:tcPr>
          <w:p>
            <w:pPr>
              <w:jc w:val="left"/>
            </w:pPr>
            <w:r>
              <w:rPr>
                <w:rFonts w:ascii="Calibri" w:hAnsi="Calibri"/>
                <w:color w:val="2D3748"/>
                <w:sz w:val="17"/>
              </w:rPr>
              <w:t>Healthcare payment gateway security</w:t>
            </w:r>
          </w:p>
        </w:tc>
        <w:tc>
          <w:tcPr>
            <w:tcW w:type="dxa" w:w="1728"/>
            <w:shd w:fill="F7FAFC"/>
            <w:tcMar>
              <w:top w:w="80" w:type="dxa"/>
              <w:bottom w:w="80" w:type="dxa"/>
              <w:left w:w="80" w:type="dxa"/>
              <w:right w:w="80" w:type="dxa"/>
            </w:tcMar>
          </w:tcPr>
          <w:p>
            <w:pPr>
              <w:jc w:val="left"/>
            </w:pPr>
            <w:r>
              <w:rPr>
                <w:rFonts w:ascii="Calibri" w:hAnsi="Calibri"/>
                <w:color w:val="2D3748"/>
                <w:sz w:val="17"/>
              </w:rPr>
              <w:t>Tokenized API &amp; RSA Encryption</w:t>
            </w:r>
          </w:p>
        </w:tc>
        <w:tc>
          <w:tcPr>
            <w:tcW w:type="dxa" w:w="1440"/>
            <w:shd w:fill="F7FAFC"/>
            <w:tcMar>
              <w:top w:w="80" w:type="dxa"/>
              <w:bottom w:w="80" w:type="dxa"/>
              <w:left w:w="80" w:type="dxa"/>
              <w:right w:w="80" w:type="dxa"/>
            </w:tcMar>
          </w:tcPr>
          <w:p>
            <w:pPr>
              <w:jc w:val="left"/>
            </w:pPr>
            <w:r>
              <w:rPr>
                <w:rFonts w:ascii="Calibri" w:hAnsi="Calibri"/>
                <w:color w:val="2D3748"/>
                <w:sz w:val="17"/>
              </w:rPr>
              <w:t>Transaction security logs</w:t>
            </w:r>
          </w:p>
        </w:tc>
        <w:tc>
          <w:tcPr>
            <w:tcW w:type="dxa" w:w="1440"/>
            <w:shd w:fill="F7FAFC"/>
            <w:tcMar>
              <w:top w:w="80" w:type="dxa"/>
              <w:bottom w:w="80" w:type="dxa"/>
              <w:left w:w="80" w:type="dxa"/>
              <w:right w:w="80" w:type="dxa"/>
            </w:tcMar>
          </w:tcPr>
          <w:p>
            <w:pPr>
              <w:jc w:val="left"/>
            </w:pPr>
            <w:r>
              <w:rPr>
                <w:rFonts w:ascii="Calibri" w:hAnsi="Calibri"/>
                <w:color w:val="2D3748"/>
                <w:sz w:val="17"/>
              </w:rPr>
              <w:t>99.99% payment completion under high load</w:t>
            </w:r>
          </w:p>
        </w:tc>
        <w:tc>
          <w:tcPr>
            <w:tcW w:type="dxa" w:w="1584"/>
            <w:shd w:fill="F7FAFC"/>
            <w:tcMar>
              <w:top w:w="80" w:type="dxa"/>
              <w:bottom w:w="80" w:type="dxa"/>
              <w:left w:w="80" w:type="dxa"/>
              <w:right w:w="80" w:type="dxa"/>
            </w:tcMar>
          </w:tcPr>
          <w:p>
            <w:pPr>
              <w:jc w:val="left"/>
            </w:pPr>
            <w:r>
              <w:rPr>
                <w:rFonts w:ascii="Calibri" w:hAnsi="Calibri"/>
                <w:color w:val="2D3748"/>
                <w:sz w:val="17"/>
              </w:rPr>
              <w:t>Focused purely on finance; no link to clinical triage.</w:t>
            </w:r>
          </w:p>
        </w:tc>
      </w:tr>
      <w:tr>
        <w:tc>
          <w:tcPr>
            <w:tcW w:type="dxa" w:w="1584"/>
            <w:shd w:fill="FFFFFF"/>
            <w:tcMar>
              <w:top w:w="80" w:type="dxa"/>
              <w:bottom w:w="80" w:type="dxa"/>
              <w:left w:w="80" w:type="dxa"/>
              <w:right w:w="80" w:type="dxa"/>
            </w:tcMar>
          </w:tcPr>
          <w:p>
            <w:pPr>
              <w:jc w:val="left"/>
            </w:pPr>
            <w:r>
              <w:rPr>
                <w:rFonts w:ascii="Calibri" w:hAnsi="Calibri"/>
                <w:color w:val="2D3748"/>
                <w:sz w:val="17"/>
              </w:rPr>
              <w:t>Wagholikar et al. (2018)</w:t>
            </w:r>
          </w:p>
        </w:tc>
        <w:tc>
          <w:tcPr>
            <w:tcW w:type="dxa" w:w="1584"/>
            <w:shd w:fill="FFFFFF"/>
            <w:tcMar>
              <w:top w:w="80" w:type="dxa"/>
              <w:bottom w:w="80" w:type="dxa"/>
              <w:left w:w="80" w:type="dxa"/>
              <w:right w:w="80" w:type="dxa"/>
            </w:tcMar>
          </w:tcPr>
          <w:p>
            <w:pPr>
              <w:jc w:val="left"/>
            </w:pPr>
            <w:r>
              <w:rPr>
                <w:rFonts w:ascii="Calibri" w:hAnsi="Calibri"/>
                <w:color w:val="2D3748"/>
                <w:sz w:val="17"/>
              </w:rPr>
              <w:t>Automated emergency department triage</w:t>
            </w:r>
          </w:p>
        </w:tc>
        <w:tc>
          <w:tcPr>
            <w:tcW w:type="dxa" w:w="1728"/>
            <w:shd w:fill="FFFFFF"/>
            <w:tcMar>
              <w:top w:w="80" w:type="dxa"/>
              <w:bottom w:w="80" w:type="dxa"/>
              <w:left w:w="80" w:type="dxa"/>
              <w:right w:w="80" w:type="dxa"/>
            </w:tcMar>
          </w:tcPr>
          <w:p>
            <w:pPr>
              <w:jc w:val="left"/>
            </w:pPr>
            <w:r>
              <w:rPr>
                <w:rFonts w:ascii="Calibri" w:hAnsi="Calibri"/>
                <w:color w:val="2D3748"/>
                <w:sz w:val="17"/>
              </w:rPr>
              <w:t>Expert Rule Engine &amp; Random Forest</w:t>
            </w:r>
          </w:p>
        </w:tc>
        <w:tc>
          <w:tcPr>
            <w:tcW w:type="dxa" w:w="1440"/>
            <w:shd w:fill="FFFFFF"/>
            <w:tcMar>
              <w:top w:w="80" w:type="dxa"/>
              <w:bottom w:w="80" w:type="dxa"/>
              <w:left w:w="80" w:type="dxa"/>
              <w:right w:w="80" w:type="dxa"/>
            </w:tcMar>
          </w:tcPr>
          <w:p>
            <w:pPr>
              <w:jc w:val="left"/>
            </w:pPr>
            <w:r>
              <w:rPr>
                <w:rFonts w:ascii="Calibri" w:hAnsi="Calibri"/>
                <w:color w:val="2D3748"/>
                <w:sz w:val="17"/>
              </w:rPr>
              <w:t>Emergency Dept EHR records</w:t>
            </w:r>
          </w:p>
        </w:tc>
        <w:tc>
          <w:tcPr>
            <w:tcW w:type="dxa" w:w="1440"/>
            <w:shd w:fill="FFFFFF"/>
            <w:tcMar>
              <w:top w:w="80" w:type="dxa"/>
              <w:bottom w:w="80" w:type="dxa"/>
              <w:left w:w="80" w:type="dxa"/>
              <w:right w:w="80" w:type="dxa"/>
            </w:tcMar>
          </w:tcPr>
          <w:p>
            <w:pPr>
              <w:jc w:val="left"/>
            </w:pPr>
            <w:r>
              <w:rPr>
                <w:rFonts w:ascii="Calibri" w:hAnsi="Calibri"/>
                <w:color w:val="2D3748"/>
                <w:sz w:val="17"/>
              </w:rPr>
              <w:t>Reduced patient wait times by 22%</w:t>
            </w:r>
          </w:p>
        </w:tc>
        <w:tc>
          <w:tcPr>
            <w:tcW w:type="dxa" w:w="1584"/>
            <w:shd w:fill="FFFFFF"/>
            <w:tcMar>
              <w:top w:w="80" w:type="dxa"/>
              <w:bottom w:w="80" w:type="dxa"/>
              <w:left w:w="80" w:type="dxa"/>
              <w:right w:w="80" w:type="dxa"/>
            </w:tcMar>
          </w:tcPr>
          <w:p>
            <w:pPr>
              <w:jc w:val="left"/>
            </w:pPr>
            <w:r>
              <w:rPr>
                <w:rFonts w:ascii="Calibri" w:hAnsi="Calibri"/>
                <w:color w:val="2D3748"/>
                <w:sz w:val="17"/>
              </w:rPr>
              <w:t>High maintenance overhead for manual medical rules.</w:t>
            </w:r>
          </w:p>
        </w:tc>
      </w:tr>
      <w:tr>
        <w:tc>
          <w:tcPr>
            <w:tcW w:type="dxa" w:w="1584"/>
            <w:shd w:fill="F7FAFC"/>
            <w:tcMar>
              <w:top w:w="80" w:type="dxa"/>
              <w:bottom w:w="80" w:type="dxa"/>
              <w:left w:w="80" w:type="dxa"/>
              <w:right w:w="80" w:type="dxa"/>
            </w:tcMar>
          </w:tcPr>
          <w:p>
            <w:pPr>
              <w:jc w:val="left"/>
            </w:pPr>
            <w:r>
              <w:rPr>
                <w:rFonts w:ascii="Calibri" w:hAnsi="Calibri"/>
                <w:color w:val="2D3748"/>
                <w:sz w:val="17"/>
              </w:rPr>
              <w:t>Esteva et al. (2019)</w:t>
            </w:r>
          </w:p>
        </w:tc>
        <w:tc>
          <w:tcPr>
            <w:tcW w:type="dxa" w:w="1584"/>
            <w:shd w:fill="F7FAFC"/>
            <w:tcMar>
              <w:top w:w="80" w:type="dxa"/>
              <w:bottom w:w="80" w:type="dxa"/>
              <w:left w:w="80" w:type="dxa"/>
              <w:right w:w="80" w:type="dxa"/>
            </w:tcMar>
          </w:tcPr>
          <w:p>
            <w:pPr>
              <w:jc w:val="left"/>
            </w:pPr>
            <w:r>
              <w:rPr>
                <w:rFonts w:ascii="Calibri" w:hAnsi="Calibri"/>
                <w:color w:val="2D3748"/>
                <w:sz w:val="17"/>
              </w:rPr>
              <w:t>Deep learning applications in healthcare</w:t>
            </w:r>
          </w:p>
        </w:tc>
        <w:tc>
          <w:tcPr>
            <w:tcW w:type="dxa" w:w="1728"/>
            <w:shd w:fill="F7FAFC"/>
            <w:tcMar>
              <w:top w:w="80" w:type="dxa"/>
              <w:bottom w:w="80" w:type="dxa"/>
              <w:left w:w="80" w:type="dxa"/>
              <w:right w:w="80" w:type="dxa"/>
            </w:tcMar>
          </w:tcPr>
          <w:p>
            <w:pPr>
              <w:jc w:val="left"/>
            </w:pPr>
            <w:r>
              <w:rPr>
                <w:rFonts w:ascii="Calibri" w:hAnsi="Calibri"/>
                <w:color w:val="2D3748"/>
                <w:sz w:val="17"/>
              </w:rPr>
              <w:t>Review of CNNs, RNNs &amp; Transformers</w:t>
            </w:r>
          </w:p>
        </w:tc>
        <w:tc>
          <w:tcPr>
            <w:tcW w:type="dxa" w:w="1440"/>
            <w:shd w:fill="F7FAFC"/>
            <w:tcMar>
              <w:top w:w="80" w:type="dxa"/>
              <w:bottom w:w="80" w:type="dxa"/>
              <w:left w:w="80" w:type="dxa"/>
              <w:right w:w="80" w:type="dxa"/>
            </w:tcMar>
          </w:tcPr>
          <w:p>
            <w:pPr>
              <w:jc w:val="left"/>
            </w:pPr>
            <w:r>
              <w:rPr>
                <w:rFonts w:ascii="Calibri" w:hAnsi="Calibri"/>
                <w:color w:val="2D3748"/>
                <w:sz w:val="17"/>
              </w:rPr>
              <w:t>Multimodal medical datasets</w:t>
            </w:r>
          </w:p>
        </w:tc>
        <w:tc>
          <w:tcPr>
            <w:tcW w:type="dxa" w:w="1440"/>
            <w:shd w:fill="F7FAFC"/>
            <w:tcMar>
              <w:top w:w="80" w:type="dxa"/>
              <w:bottom w:w="80" w:type="dxa"/>
              <w:left w:w="80" w:type="dxa"/>
              <w:right w:w="80" w:type="dxa"/>
            </w:tcMar>
          </w:tcPr>
          <w:p>
            <w:pPr>
              <w:jc w:val="left"/>
            </w:pPr>
            <w:r>
              <w:rPr>
                <w:rFonts w:ascii="Calibri" w:hAnsi="Calibri"/>
                <w:color w:val="2D3748"/>
                <w:sz w:val="17"/>
              </w:rPr>
              <w:t>Established AI benchmark roadmap</w:t>
            </w:r>
          </w:p>
        </w:tc>
        <w:tc>
          <w:tcPr>
            <w:tcW w:type="dxa" w:w="1584"/>
            <w:shd w:fill="F7FAFC"/>
            <w:tcMar>
              <w:top w:w="80" w:type="dxa"/>
              <w:bottom w:w="80" w:type="dxa"/>
              <w:left w:w="80" w:type="dxa"/>
              <w:right w:w="80" w:type="dxa"/>
            </w:tcMar>
          </w:tcPr>
          <w:p>
            <w:pPr>
              <w:jc w:val="left"/>
            </w:pPr>
            <w:r>
              <w:rPr>
                <w:rFonts w:ascii="Calibri" w:hAnsi="Calibri"/>
                <w:color w:val="2D3748"/>
                <w:sz w:val="17"/>
              </w:rPr>
              <w:t>Emphasized severe deployment barriers in rural clinics.</w:t>
            </w:r>
          </w:p>
        </w:tc>
      </w:tr>
      <w:tr>
        <w:tc>
          <w:tcPr>
            <w:tcW w:type="dxa" w:w="1584"/>
            <w:shd w:fill="FFFFFF"/>
            <w:tcMar>
              <w:top w:w="80" w:type="dxa"/>
              <w:bottom w:w="80" w:type="dxa"/>
              <w:left w:w="80" w:type="dxa"/>
              <w:right w:w="80" w:type="dxa"/>
            </w:tcMar>
          </w:tcPr>
          <w:p>
            <w:pPr>
              <w:jc w:val="left"/>
            </w:pPr>
            <w:r>
              <w:rPr>
                <w:rFonts w:ascii="Calibri" w:hAnsi="Calibri"/>
                <w:color w:val="2D3748"/>
                <w:sz w:val="17"/>
              </w:rPr>
              <w:t>Narasimhan et al. (2020)</w:t>
            </w:r>
          </w:p>
        </w:tc>
        <w:tc>
          <w:tcPr>
            <w:tcW w:type="dxa" w:w="1584"/>
            <w:shd w:fill="FFFFFF"/>
            <w:tcMar>
              <w:top w:w="80" w:type="dxa"/>
              <w:bottom w:w="80" w:type="dxa"/>
              <w:left w:w="80" w:type="dxa"/>
              <w:right w:w="80" w:type="dxa"/>
            </w:tcMar>
          </w:tcPr>
          <w:p>
            <w:pPr>
              <w:jc w:val="left"/>
            </w:pPr>
            <w:r>
              <w:rPr>
                <w:rFonts w:ascii="Calibri" w:hAnsi="Calibri"/>
                <w:color w:val="2D3748"/>
                <w:sz w:val="17"/>
              </w:rPr>
              <w:t>Health intent classification in bots</w:t>
            </w:r>
          </w:p>
        </w:tc>
        <w:tc>
          <w:tcPr>
            <w:tcW w:type="dxa" w:w="1728"/>
            <w:shd w:fill="FFFFFF"/>
            <w:tcMar>
              <w:top w:w="80" w:type="dxa"/>
              <w:bottom w:w="80" w:type="dxa"/>
              <w:left w:w="80" w:type="dxa"/>
              <w:right w:w="80" w:type="dxa"/>
            </w:tcMar>
          </w:tcPr>
          <w:p>
            <w:pPr>
              <w:jc w:val="left"/>
            </w:pPr>
            <w:r>
              <w:rPr>
                <w:rFonts w:ascii="Calibri" w:hAnsi="Calibri"/>
                <w:color w:val="2D3748"/>
                <w:sz w:val="17"/>
              </w:rPr>
              <w:t>Softmax Logistic Regression Intent Model</w:t>
            </w:r>
          </w:p>
        </w:tc>
        <w:tc>
          <w:tcPr>
            <w:tcW w:type="dxa" w:w="1440"/>
            <w:shd w:fill="FFFFFF"/>
            <w:tcMar>
              <w:top w:w="80" w:type="dxa"/>
              <w:bottom w:w="80" w:type="dxa"/>
              <w:left w:w="80" w:type="dxa"/>
              <w:right w:w="80" w:type="dxa"/>
            </w:tcMar>
          </w:tcPr>
          <w:p>
            <w:pPr>
              <w:jc w:val="left"/>
            </w:pPr>
            <w:r>
              <w:rPr>
                <w:rFonts w:ascii="Calibri" w:hAnsi="Calibri"/>
                <w:color w:val="2D3748"/>
                <w:sz w:val="17"/>
              </w:rPr>
              <w:t>1,500 patient chat transcript logs</w:t>
            </w:r>
          </w:p>
        </w:tc>
        <w:tc>
          <w:tcPr>
            <w:tcW w:type="dxa" w:w="1440"/>
            <w:shd w:fill="FFFFFF"/>
            <w:tcMar>
              <w:top w:w="80" w:type="dxa"/>
              <w:bottom w:w="80" w:type="dxa"/>
              <w:left w:w="80" w:type="dxa"/>
              <w:right w:w="80" w:type="dxa"/>
            </w:tcMar>
          </w:tcPr>
          <w:p>
            <w:pPr>
              <w:jc w:val="left"/>
            </w:pPr>
            <w:r>
              <w:rPr>
                <w:rFonts w:ascii="Calibri" w:hAnsi="Calibri"/>
                <w:color w:val="2D3748"/>
                <w:sz w:val="17"/>
              </w:rPr>
              <w:t>88.6% precision; 30% confidence fallback</w:t>
            </w:r>
          </w:p>
        </w:tc>
        <w:tc>
          <w:tcPr>
            <w:tcW w:type="dxa" w:w="1584"/>
            <w:shd w:fill="FFFFFF"/>
            <w:tcMar>
              <w:top w:w="80" w:type="dxa"/>
              <w:bottom w:w="80" w:type="dxa"/>
              <w:left w:w="80" w:type="dxa"/>
              <w:right w:w="80" w:type="dxa"/>
            </w:tcMar>
          </w:tcPr>
          <w:p>
            <w:pPr>
              <w:jc w:val="left"/>
            </w:pPr>
            <w:r>
              <w:rPr>
                <w:rFonts w:ascii="Calibri" w:hAnsi="Calibri"/>
                <w:color w:val="2D3748"/>
                <w:sz w:val="17"/>
              </w:rPr>
              <w:t>Proved confidence threshold fallback; restricted to English.</w:t>
            </w:r>
          </w:p>
        </w:tc>
      </w:tr>
      <w:tr>
        <w:tc>
          <w:tcPr>
            <w:tcW w:type="dxa" w:w="1584"/>
            <w:shd w:fill="F7FAFC"/>
            <w:tcMar>
              <w:top w:w="80" w:type="dxa"/>
              <w:bottom w:w="80" w:type="dxa"/>
              <w:left w:w="80" w:type="dxa"/>
              <w:right w:w="80" w:type="dxa"/>
            </w:tcMar>
          </w:tcPr>
          <w:p>
            <w:pPr>
              <w:jc w:val="left"/>
            </w:pPr>
            <w:r>
              <w:rPr>
                <w:rFonts w:ascii="Calibri" w:hAnsi="Calibri"/>
                <w:color w:val="2D3748"/>
                <w:sz w:val="17"/>
              </w:rPr>
              <w:t>Al-Senaidy et al. (2021)</w:t>
            </w:r>
          </w:p>
        </w:tc>
        <w:tc>
          <w:tcPr>
            <w:tcW w:type="dxa" w:w="1584"/>
            <w:shd w:fill="F7FAFC"/>
            <w:tcMar>
              <w:top w:w="80" w:type="dxa"/>
              <w:bottom w:w="80" w:type="dxa"/>
              <w:left w:w="80" w:type="dxa"/>
              <w:right w:w="80" w:type="dxa"/>
            </w:tcMar>
          </w:tcPr>
          <w:p>
            <w:pPr>
              <w:jc w:val="left"/>
            </w:pPr>
            <w:r>
              <w:rPr>
                <w:rFonts w:ascii="Calibri" w:hAnsi="Calibri"/>
                <w:color w:val="2D3748"/>
                <w:sz w:val="17"/>
              </w:rPr>
              <w:t>Peer support in chronic disease management</w:t>
            </w:r>
          </w:p>
        </w:tc>
        <w:tc>
          <w:tcPr>
            <w:tcW w:type="dxa" w:w="1728"/>
            <w:shd w:fill="F7FAFC"/>
            <w:tcMar>
              <w:top w:w="80" w:type="dxa"/>
              <w:bottom w:w="80" w:type="dxa"/>
              <w:left w:w="80" w:type="dxa"/>
              <w:right w:w="80" w:type="dxa"/>
            </w:tcMar>
          </w:tcPr>
          <w:p>
            <w:pPr>
              <w:jc w:val="left"/>
            </w:pPr>
            <w:r>
              <w:rPr>
                <w:rFonts w:ascii="Calibri" w:hAnsi="Calibri"/>
                <w:color w:val="2D3748"/>
                <w:sz w:val="17"/>
              </w:rPr>
              <w:t>Qualitative &amp; Quantitative Network Analysis</w:t>
            </w:r>
          </w:p>
        </w:tc>
        <w:tc>
          <w:tcPr>
            <w:tcW w:type="dxa" w:w="1440"/>
            <w:shd w:fill="F7FAFC"/>
            <w:tcMar>
              <w:top w:w="80" w:type="dxa"/>
              <w:bottom w:w="80" w:type="dxa"/>
              <w:left w:w="80" w:type="dxa"/>
              <w:right w:w="80" w:type="dxa"/>
            </w:tcMar>
          </w:tcPr>
          <w:p>
            <w:pPr>
              <w:jc w:val="left"/>
            </w:pPr>
            <w:r>
              <w:rPr>
                <w:rFonts w:ascii="Calibri" w:hAnsi="Calibri"/>
                <w:color w:val="2D3748"/>
                <w:sz w:val="17"/>
              </w:rPr>
              <w:t>Online diabetes community forums</w:t>
            </w:r>
          </w:p>
        </w:tc>
        <w:tc>
          <w:tcPr>
            <w:tcW w:type="dxa" w:w="1440"/>
            <w:shd w:fill="F7FAFC"/>
            <w:tcMar>
              <w:top w:w="80" w:type="dxa"/>
              <w:bottom w:w="80" w:type="dxa"/>
              <w:left w:w="80" w:type="dxa"/>
              <w:right w:w="80" w:type="dxa"/>
            </w:tcMar>
          </w:tcPr>
          <w:p>
            <w:pPr>
              <w:jc w:val="left"/>
            </w:pPr>
            <w:r>
              <w:rPr>
                <w:rFonts w:ascii="Calibri" w:hAnsi="Calibri"/>
                <w:color w:val="2D3748"/>
                <w:sz w:val="17"/>
              </w:rPr>
              <w:t>35% reduction in patient anxiety scores</w:t>
            </w:r>
          </w:p>
        </w:tc>
        <w:tc>
          <w:tcPr>
            <w:tcW w:type="dxa" w:w="1584"/>
            <w:shd w:fill="F7FAFC"/>
            <w:tcMar>
              <w:top w:w="80" w:type="dxa"/>
              <w:bottom w:w="80" w:type="dxa"/>
              <w:left w:w="80" w:type="dxa"/>
              <w:right w:w="80" w:type="dxa"/>
            </w:tcMar>
          </w:tcPr>
          <w:p>
            <w:pPr>
              <w:jc w:val="left"/>
            </w:pPr>
            <w:r>
              <w:rPr>
                <w:rFonts w:ascii="Calibri" w:hAnsi="Calibri"/>
                <w:color w:val="2D3748"/>
                <w:sz w:val="17"/>
              </w:rPr>
              <w:t>Demonstrated peer support value; lacked clinical integration.</w:t>
            </w:r>
          </w:p>
        </w:tc>
      </w:tr>
      <w:tr>
        <w:tc>
          <w:tcPr>
            <w:tcW w:type="dxa" w:w="1584"/>
            <w:shd w:fill="FFFFFF"/>
            <w:tcMar>
              <w:top w:w="80" w:type="dxa"/>
              <w:bottom w:w="80" w:type="dxa"/>
              <w:left w:w="80" w:type="dxa"/>
              <w:right w:w="80" w:type="dxa"/>
            </w:tcMar>
          </w:tcPr>
          <w:p>
            <w:pPr>
              <w:jc w:val="left"/>
            </w:pPr>
            <w:r>
              <w:rPr>
                <w:rFonts w:ascii="Calibri" w:hAnsi="Calibri"/>
                <w:color w:val="2D3748"/>
                <w:sz w:val="17"/>
              </w:rPr>
              <w:t>Venkatesh et al. (2023)</w:t>
            </w:r>
          </w:p>
        </w:tc>
        <w:tc>
          <w:tcPr>
            <w:tcW w:type="dxa" w:w="1584"/>
            <w:shd w:fill="FFFFFF"/>
            <w:tcMar>
              <w:top w:w="80" w:type="dxa"/>
              <w:bottom w:w="80" w:type="dxa"/>
              <w:left w:w="80" w:type="dxa"/>
              <w:right w:w="80" w:type="dxa"/>
            </w:tcMar>
          </w:tcPr>
          <w:p>
            <w:pPr>
              <w:jc w:val="left"/>
            </w:pPr>
            <w:r>
              <w:rPr>
                <w:rFonts w:ascii="Calibri" w:hAnsi="Calibri"/>
                <w:color w:val="2D3748"/>
                <w:sz w:val="17"/>
              </w:rPr>
              <w:t>Regional health access in South Asia</w:t>
            </w:r>
          </w:p>
        </w:tc>
        <w:tc>
          <w:tcPr>
            <w:tcW w:type="dxa" w:w="1728"/>
            <w:shd w:fill="FFFFFF"/>
            <w:tcMar>
              <w:top w:w="80" w:type="dxa"/>
              <w:bottom w:w="80" w:type="dxa"/>
              <w:left w:w="80" w:type="dxa"/>
              <w:right w:w="80" w:type="dxa"/>
            </w:tcMar>
          </w:tcPr>
          <w:p>
            <w:pPr>
              <w:jc w:val="left"/>
            </w:pPr>
            <w:r>
              <w:rPr>
                <w:rFonts w:ascii="Calibri" w:hAnsi="Calibri"/>
                <w:color w:val="2D3748"/>
                <w:sz w:val="17"/>
              </w:rPr>
              <w:t>GIS Spatial &amp; Demographic Mapping</w:t>
            </w:r>
          </w:p>
        </w:tc>
        <w:tc>
          <w:tcPr>
            <w:tcW w:type="dxa" w:w="1440"/>
            <w:shd w:fill="FFFFFF"/>
            <w:tcMar>
              <w:top w:w="80" w:type="dxa"/>
              <w:bottom w:w="80" w:type="dxa"/>
              <w:left w:w="80" w:type="dxa"/>
              <w:right w:w="80" w:type="dxa"/>
            </w:tcMar>
          </w:tcPr>
          <w:p>
            <w:pPr>
              <w:jc w:val="left"/>
            </w:pPr>
            <w:r>
              <w:rPr>
                <w:rFonts w:ascii="Calibri" w:hAnsi="Calibri"/>
                <w:color w:val="2D3748"/>
                <w:sz w:val="17"/>
              </w:rPr>
              <w:t>Sri Lankan healthcare location database</w:t>
            </w:r>
          </w:p>
        </w:tc>
        <w:tc>
          <w:tcPr>
            <w:tcW w:type="dxa" w:w="1440"/>
            <w:shd w:fill="FFFFFF"/>
            <w:tcMar>
              <w:top w:w="80" w:type="dxa"/>
              <w:bottom w:w="80" w:type="dxa"/>
              <w:left w:w="80" w:type="dxa"/>
              <w:right w:w="80" w:type="dxa"/>
            </w:tcMar>
          </w:tcPr>
          <w:p>
            <w:pPr>
              <w:jc w:val="left"/>
            </w:pPr>
            <w:r>
              <w:rPr>
                <w:rFonts w:ascii="Calibri" w:hAnsi="Calibri"/>
                <w:color w:val="2D3748"/>
                <w:sz w:val="17"/>
              </w:rPr>
              <w:t>Mapped severe specialist gaps in rural districts</w:t>
            </w:r>
          </w:p>
        </w:tc>
        <w:tc>
          <w:tcPr>
            <w:tcW w:type="dxa" w:w="1584"/>
            <w:shd w:fill="FFFFFF"/>
            <w:tcMar>
              <w:top w:w="80" w:type="dxa"/>
              <w:bottom w:w="80" w:type="dxa"/>
              <w:left w:w="80" w:type="dxa"/>
              <w:right w:w="80" w:type="dxa"/>
            </w:tcMar>
          </w:tcPr>
          <w:p>
            <w:pPr>
              <w:jc w:val="left"/>
            </w:pPr>
            <w:r>
              <w:rPr>
                <w:rFonts w:ascii="Calibri" w:hAnsi="Calibri"/>
                <w:color w:val="2D3748"/>
                <w:sz w:val="17"/>
              </w:rPr>
              <w:t>Purely descriptive study; offered no software solution.</w:t>
            </w:r>
          </w:p>
        </w:tc>
      </w:tr>
    </w:tbl>
    <w:p>
      <w:pPr>
        <w:spacing w:after="120"/>
      </w:pPr>
    </w:p>
    <w:p>
      <w:pPr>
        <w:keepNext/>
        <w:spacing w:before="360" w:after="160"/>
      </w:pPr>
      <w:r>
        <w:rPr>
          <w:rFonts w:ascii="Arial" w:hAnsi="Arial"/>
          <w:b/>
          <w:color w:val="1A365D"/>
          <w:sz w:val="36"/>
        </w:rPr>
        <w:t>4. Dataset Review and Analytical Architecture</w:t>
      </w:r>
    </w:p>
    <w:p>
      <w:pPr>
        <w:spacing w:after="120" w:line="276" w:lineRule="auto"/>
      </w:pPr>
      <w:r>
        <w:rPr>
          <w:rFonts w:ascii="Calibri" w:hAnsi="Calibri"/>
          <w:color w:val="2D3748"/>
          <w:sz w:val="22"/>
        </w:rPr>
        <w:t>The performance of machine learning models is intrinsically bound to dataset architecture, feature representation, and data quality.</w:t>
      </w:r>
    </w:p>
    <w:p>
      <w:pPr>
        <w:keepNext/>
        <w:spacing w:before="280" w:after="120"/>
      </w:pPr>
      <w:r>
        <w:rPr>
          <w:rFonts w:ascii="Arial" w:hAnsi="Arial"/>
          <w:b/>
          <w:color w:val="2B6CB0"/>
          <w:sz w:val="28"/>
        </w:rPr>
        <w:t>4.1 Primary eDocBook Datasets</w:t>
      </w:r>
    </w:p>
    <w:p>
      <w:pPr>
        <w:spacing w:after="120" w:line="276" w:lineRule="auto"/>
      </w:pPr>
      <w:r>
        <w:rPr>
          <w:rFonts w:ascii="Calibri" w:hAnsi="Calibri"/>
          <w:color w:val="2D3748"/>
          <w:sz w:val="22"/>
        </w:rPr>
        <w:t>The eDocBook system incorporates two specialized datasets:</w:t>
      </w:r>
    </w:p>
    <w:p>
      <w:pPr>
        <w:spacing w:after="120" w:line="276" w:lineRule="auto"/>
      </w:pPr>
      <w:r>
        <w:rPr>
          <w:rFonts w:ascii="Calibri" w:hAnsi="Calibri"/>
          <w:b/>
          <w:color w:val="1A202C"/>
          <w:sz w:val="22"/>
        </w:rPr>
        <w:t xml:space="preserve">1. Symptom-Disease-Specialist Dataset (symptom_disease_specialist_dataset.csv): </w:t>
      </w:r>
      <w:r>
        <w:rPr>
          <w:rFonts w:ascii="Calibri" w:hAnsi="Calibri"/>
          <w:color w:val="2D3748"/>
          <w:sz w:val="22"/>
        </w:rPr>
        <w:t>A structured dataset mapping clinical symptom descriptions to primary target diseases (e.g., Flu, Migraine, COVID-19, Asthma, Diabetes, Hypertension, Food Poisoning, Kidney Infection, Arthritis) and matching specialist designations (e.g., Pulmonologist, Neurologist, Endocrinologist, Cardiologist).</w:t>
      </w:r>
    </w:p>
    <w:p>
      <w:pPr>
        <w:spacing w:after="120" w:line="276" w:lineRule="auto"/>
      </w:pPr>
      <w:r>
        <w:rPr>
          <w:rFonts w:ascii="Calibri" w:hAnsi="Calibri"/>
          <w:b/>
          <w:color w:val="1A202C"/>
          <w:sz w:val="22"/>
        </w:rPr>
        <w:t xml:space="preserve">2. Conversational Intent Classification Corpus (train_chatbot.py): </w:t>
      </w:r>
      <w:r>
        <w:rPr>
          <w:rFonts w:ascii="Calibri" w:hAnsi="Calibri"/>
          <w:color w:val="2D3748"/>
          <w:sz w:val="22"/>
        </w:rPr>
        <w:t>A curated corpus of over 200 user utterances categorized across 18 intent classes (greeting, about, how_works, booking, payment, cost, cancel_appointment, symptoms_general, live_chat, doctor_availability, prescription, follow_up, test_results, insurance, privacy, emergency, thanks, fallback).</w:t>
      </w:r>
    </w:p>
    <w:p>
      <w:pPr>
        <w:keepNext/>
        <w:spacing w:before="280" w:after="120"/>
      </w:pPr>
      <w:r>
        <w:rPr>
          <w:rFonts w:ascii="Arial" w:hAnsi="Arial"/>
          <w:b/>
          <w:color w:val="2B6CB0"/>
          <w:sz w:val="28"/>
        </w:rPr>
        <w:t>4.2 Variable Specification and Schema</w:t>
      </w:r>
    </w:p>
    <w:p>
      <w:pPr>
        <w:spacing w:after="120" w:line="276" w:lineRule="auto"/>
      </w:pPr>
      <w:r>
        <w:rPr>
          <w:rFonts w:ascii="Calibri" w:hAnsi="Calibri"/>
          <w:b/>
          <w:color w:val="1A202C"/>
          <w:sz w:val="22"/>
        </w:rPr>
        <w:t xml:space="preserve">• </w:t>
      </w:r>
      <w:r>
        <w:rPr>
          <w:rFonts w:ascii="Calibri" w:hAnsi="Calibri"/>
          <w:color w:val="2D3748"/>
          <w:sz w:val="22"/>
        </w:rPr>
        <w:t>Predictor Feature (X): Unstructured, free-text symptom phrases or user support queries submitted in English, Sinhala, or Tamil.</w:t>
      </w:r>
    </w:p>
    <w:p>
      <w:pPr>
        <w:spacing w:after="120" w:line="276" w:lineRule="auto"/>
      </w:pPr>
      <w:r>
        <w:rPr>
          <w:rFonts w:ascii="Calibri" w:hAnsi="Calibri"/>
          <w:b/>
          <w:color w:val="1A202C"/>
          <w:sz w:val="22"/>
        </w:rPr>
        <w:t xml:space="preserve">• </w:t>
      </w:r>
      <w:r>
        <w:rPr>
          <w:rFonts w:ascii="Calibri" w:hAnsi="Calibri"/>
          <w:color w:val="2D3748"/>
          <w:sz w:val="22"/>
        </w:rPr>
        <w:t>Target Classification Label (y): Categorical target disease condition or chatbot intent category.</w:t>
      </w:r>
    </w:p>
    <w:p>
      <w:pPr>
        <w:spacing w:after="120" w:line="276" w:lineRule="auto"/>
      </w:pPr>
      <w:r>
        <w:rPr>
          <w:rFonts w:ascii="Calibri" w:hAnsi="Calibri"/>
          <w:b/>
          <w:color w:val="1A202C"/>
          <w:sz w:val="22"/>
        </w:rPr>
        <w:t xml:space="preserve">• </w:t>
      </w:r>
      <w:r>
        <w:rPr>
          <w:rFonts w:ascii="Calibri" w:hAnsi="Calibri"/>
          <w:color w:val="2D3748"/>
          <w:sz w:val="22"/>
        </w:rPr>
        <w:t>Relational Attributes: Doctor metadata including fee, rating, hospital affiliation, and Sri Lankan district location across all 25 districts.</w:t>
      </w:r>
    </w:p>
    <w:p>
      <w:pPr>
        <w:keepNext/>
        <w:spacing w:before="280" w:after="120"/>
      </w:pPr>
      <w:r>
        <w:rPr>
          <w:rFonts w:ascii="Arial" w:hAnsi="Arial"/>
          <w:b/>
          <w:color w:val="2B6CB0"/>
          <w:sz w:val="28"/>
        </w:rPr>
        <w:t>4.3 Class Imbalance, Noise, and Multilingual Quality Control</w:t>
      </w:r>
    </w:p>
    <w:p>
      <w:pPr>
        <w:spacing w:after="120" w:line="276" w:lineRule="auto"/>
      </w:pPr>
      <w:r>
        <w:rPr>
          <w:rFonts w:ascii="Calibri" w:hAnsi="Calibri"/>
          <w:color w:val="2D3748"/>
          <w:sz w:val="22"/>
        </w:rPr>
        <w:t>Clinical datasets frequently display class imbalance, where mild conditions dominate over acute illnesses. eDocBook ensures balanced class representation across target disease classes to maintain high diagnostic sensitivity for acute conditions. Furthermore, non-English inputs in Sinhala (si) or Tamil (ta) introduce translation artifacts when translated via Google Translate API. To guarantee clinical reliability, eDocBook maps outputs through a localized medical validation dictionary (LOCAL_TRANSLATIONS in translator.py), ensuring high-fidelity terminology for patient advice and specialist titles.</w:t>
      </w:r>
    </w:p>
    <w:p>
      <w:pPr>
        <w:keepNext/>
        <w:spacing w:before="360" w:after="160"/>
      </w:pPr>
      <w:r>
        <w:rPr>
          <w:rFonts w:ascii="Arial" w:hAnsi="Arial"/>
          <w:b/>
          <w:color w:val="1A365D"/>
          <w:sz w:val="36"/>
        </w:rPr>
        <w:t>5. Data Preprocessing and Feature Engineering</w:t>
      </w:r>
    </w:p>
    <w:p>
      <w:pPr>
        <w:spacing w:after="120" w:line="276" w:lineRule="auto"/>
      </w:pPr>
      <w:r>
        <w:rPr>
          <w:rFonts w:ascii="Calibri" w:hAnsi="Calibri"/>
          <w:color w:val="2D3748"/>
          <w:sz w:val="22"/>
        </w:rPr>
        <w:t>Raw text data must be systematically transformed into numerical representations suitable for machine learning inference.</w:t>
      </w:r>
    </w:p>
    <w:p>
      <w:pPr>
        <w:keepNext/>
        <w:spacing w:before="280" w:after="120"/>
      </w:pPr>
      <w:r>
        <w:rPr>
          <w:rFonts w:ascii="Arial" w:hAnsi="Arial"/>
          <w:b/>
          <w:color w:val="2B6CB0"/>
          <w:sz w:val="28"/>
        </w:rPr>
        <w:t>5.1 Multilingual Translation Pipeline</w:t>
      </w:r>
    </w:p>
    <w:p>
      <w:pPr>
        <w:spacing w:after="120" w:line="276" w:lineRule="auto"/>
      </w:pPr>
      <w:r>
        <w:rPr>
          <w:rFonts w:ascii="Calibri" w:hAnsi="Calibri"/>
          <w:color w:val="2D3748"/>
          <w:sz w:val="22"/>
        </w:rPr>
        <w:t>To prevent sparse feature matrices caused by multi-language vocabularies, eDocBook routes non-English text through a deep-translator wrapper prior to vectorization: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A365D"/>
              <w:bottom w:val="none"/>
              <w:right w:val="none"/>
            </w:tcBorders>
          </w:tcPr>
          <w:p>
            <w:pPr>
              <w:spacing w:after="80"/>
            </w:pPr>
            <w:r>
              <w:rPr>
                <w:rFonts w:ascii="Arial" w:hAnsi="Arial"/>
                <w:b/>
                <w:color w:val="1A365D"/>
                <w:sz w:val="22"/>
              </w:rPr>
              <w:t>📌 Translation Pipeline Logic</w:t>
              <w:br/>
            </w:r>
            <w:r>
              <w:rPr>
                <w:rFonts w:ascii="Calibri" w:hAnsi="Calibri"/>
                <w:i/>
                <w:color w:val="2D3748"/>
                <w:sz w:val="21"/>
              </w:rPr>
              <w:t>User Input (Sinhala / Tamil) ──► deep-translator (Google Translate API) ──► English Clinical Text ──► Model Inference ──► Localized Output Dictionary (LOCAL_TRANSLATIONS) ──► Native Output</w:t>
            </w:r>
          </w:p>
        </w:tc>
      </w:tr>
    </w:tbl>
    <w:p>
      <w:pPr>
        <w:spacing w:after="80"/>
      </w:pPr>
    </w:p>
    <w:p>
      <w:pPr>
        <w:keepNext/>
        <w:spacing w:before="280" w:after="120"/>
      </w:pPr>
      <w:r>
        <w:rPr>
          <w:rFonts w:ascii="Arial" w:hAnsi="Arial"/>
          <w:b/>
          <w:color w:val="2B6CB0"/>
          <w:sz w:val="28"/>
        </w:rPr>
        <w:t>5.2 TF-IDF Text Vectorization</w:t>
      </w:r>
    </w:p>
    <w:p>
      <w:pPr>
        <w:spacing w:after="120" w:line="276" w:lineRule="auto"/>
      </w:pPr>
      <w:r>
        <w:rPr>
          <w:rFonts w:ascii="Calibri" w:hAnsi="Calibri"/>
          <w:color w:val="2D3748"/>
          <w:sz w:val="22"/>
        </w:rPr>
        <w:t>Text vectorization transforms raw token sequences into weighted numerical matrices using Term Frequency-Inverse Document Frequency (TF-IDF):</w:t>
      </w:r>
    </w:p>
    <w:p>
      <w:pPr>
        <w:spacing w:after="120" w:line="276" w:lineRule="auto"/>
      </w:pPr>
      <w:r>
        <w:rPr>
          <w:rFonts w:ascii="Calibri" w:hAnsi="Calibri"/>
          <w:b/>
          <w:color w:val="1A202C"/>
          <w:sz w:val="22"/>
        </w:rPr>
        <w:t xml:space="preserve">Mathematical Formulation: </w:t>
      </w:r>
      <w:r>
        <w:rPr>
          <w:rFonts w:ascii="Calibri" w:hAnsi="Calibri"/>
          <w:color w:val="2D3748"/>
          <w:sz w:val="22"/>
        </w:rPr>
        <w:t>TF-IDF(t, d, D) = TF(t, d) × log(|D| / |{d ∈ D : t ∈ d}|)</w:t>
      </w:r>
    </w:p>
    <w:p>
      <w:pPr>
        <w:spacing w:after="120" w:line="276" w:lineRule="auto"/>
      </w:pPr>
      <w:r>
        <w:rPr>
          <w:rFonts w:ascii="Calibri" w:hAnsi="Calibri"/>
          <w:color w:val="2D3748"/>
          <w:sz w:val="22"/>
        </w:rPr>
        <w:t>Where TF(t, d) evaluates the relative frequency of term t within document d, and log(|D| / |{d ∈ D : t ∈ d}|) scales down ubiquitous non-informative terms while emphasizing distinctive medical descriptors.</w:t>
      </w:r>
    </w:p>
    <w:p>
      <w:pPr>
        <w:keepNext/>
        <w:spacing w:before="280" w:after="120"/>
      </w:pPr>
      <w:r>
        <w:rPr>
          <w:rFonts w:ascii="Arial" w:hAnsi="Arial"/>
          <w:b/>
          <w:color w:val="2B6CB0"/>
          <w:sz w:val="28"/>
        </w:rPr>
        <w:t>5.3 N-Gram Expansion &amp; Feature Constraints</w:t>
      </w:r>
    </w:p>
    <w:p>
      <w:pPr>
        <w:spacing w:after="120" w:line="276" w:lineRule="auto"/>
      </w:pPr>
      <w:r>
        <w:rPr>
          <w:rFonts w:ascii="Calibri" w:hAnsi="Calibri"/>
          <w:color w:val="2D3748"/>
          <w:sz w:val="22"/>
        </w:rPr>
        <w:t>Single words often lack diagnostic specificity (e.g., 'pain'). By implementing an n-gram range of (1, 2) in train_model.py and train_chatbot.py, the feature space captures compound medical terms such as 'chest pain', 'sore throat', 'joint stiffness', and 'high blood pressure'. The chatbot pipeline restricts max_features to 5,000, eliminating sparse long-tail tokens and optimizing execution speed.</w:t>
      </w:r>
    </w:p>
    <w:p>
      <w:pPr>
        <w:keepNext/>
        <w:spacing w:before="360" w:after="160"/>
      </w:pPr>
      <w:r>
        <w:rPr>
          <w:rFonts w:ascii="Arial" w:hAnsi="Arial"/>
          <w:b/>
          <w:color w:val="1A365D"/>
          <w:sz w:val="36"/>
        </w:rPr>
        <w:t>6. Machine Learning Models and Algorithm Rationale</w:t>
      </w:r>
    </w:p>
    <w:p>
      <w:pPr>
        <w:spacing w:after="120" w:line="276" w:lineRule="auto"/>
      </w:pPr>
      <w:r>
        <w:rPr>
          <w:rFonts w:ascii="Calibri" w:hAnsi="Calibri"/>
          <w:color w:val="2D3748"/>
          <w:sz w:val="22"/>
        </w:rPr>
        <w:t>eDocBook implements Multi-Class Logistic Regression pipelines across both the symptom analysis engine and the chatbot intent classifier.</w:t>
      </w:r>
    </w:p>
    <w:p>
      <w:pPr>
        <w:keepNext/>
        <w:spacing w:before="280" w:after="120"/>
      </w:pPr>
      <w:r>
        <w:rPr>
          <w:rFonts w:ascii="Arial" w:hAnsi="Arial"/>
          <w:b/>
          <w:color w:val="2B6CB0"/>
          <w:sz w:val="28"/>
        </w:rPr>
        <w:t>6.1 Multi-Class Logistic Regression Formulation</w:t>
      </w:r>
    </w:p>
    <w:p>
      <w:pPr>
        <w:spacing w:after="120" w:line="276" w:lineRule="auto"/>
      </w:pPr>
      <w:r>
        <w:rPr>
          <w:rFonts w:ascii="Calibri" w:hAnsi="Calibri"/>
          <w:color w:val="2D3748"/>
          <w:sz w:val="22"/>
        </w:rPr>
        <w:t>The model maps feature vectors to class probability distributions using the Softmax activation function:</w:t>
      </w:r>
    </w:p>
    <w:p>
      <w:pPr>
        <w:spacing w:after="120" w:line="276" w:lineRule="auto"/>
      </w:pPr>
      <w:r>
        <w:rPr>
          <w:rFonts w:ascii="Calibri" w:hAnsi="Calibri"/>
          <w:b/>
          <w:color w:val="1A202C"/>
          <w:sz w:val="22"/>
        </w:rPr>
        <w:t xml:space="preserve">Softmax Equation: </w:t>
      </w:r>
      <w:r>
        <w:rPr>
          <w:rFonts w:ascii="Calibri" w:hAnsi="Calibri"/>
          <w:color w:val="2D3748"/>
          <w:sz w:val="22"/>
        </w:rPr>
        <w:t>P(Y = k | X = x) = exp(W_k^T x + b_k) / ∑_{j=1}^{K} exp(W_j^T x + b_j)</w:t>
      </w:r>
    </w:p>
    <w:p>
      <w:pPr>
        <w:spacing w:after="120" w:line="276" w:lineRule="auto"/>
      </w:pPr>
      <w:r>
        <w:rPr>
          <w:rFonts w:ascii="Calibri" w:hAnsi="Calibri"/>
          <w:color w:val="2D3748"/>
          <w:sz w:val="22"/>
        </w:rPr>
        <w:t>Why Logistic Regression was chosen for eDocBook:</w:t>
      </w:r>
    </w:p>
    <w:p>
      <w:pPr>
        <w:spacing w:after="120" w:line="276" w:lineRule="auto"/>
      </w:pPr>
      <w:r>
        <w:rPr>
          <w:rFonts w:ascii="Calibri" w:hAnsi="Calibri"/>
          <w:b/>
          <w:color w:val="1A202C"/>
          <w:sz w:val="22"/>
        </w:rPr>
        <w:t xml:space="preserve">1. High Separability in High-Dimensional Sparse Text: </w:t>
      </w:r>
      <w:r>
        <w:rPr>
          <w:rFonts w:ascii="Calibri" w:hAnsi="Calibri"/>
          <w:color w:val="2D3748"/>
          <w:sz w:val="22"/>
        </w:rPr>
        <w:t>TF-IDF matrices generated from distinct medical term combinations exhibit linear separability across target categories.</w:t>
      </w:r>
    </w:p>
    <w:p>
      <w:pPr>
        <w:spacing w:after="120" w:line="276" w:lineRule="auto"/>
      </w:pPr>
      <w:r>
        <w:rPr>
          <w:rFonts w:ascii="Calibri" w:hAnsi="Calibri"/>
          <w:b/>
          <w:color w:val="1A202C"/>
          <w:sz w:val="22"/>
        </w:rPr>
        <w:t xml:space="preserve">2. Calibrated Probability Estimates: </w:t>
      </w:r>
      <w:r>
        <w:rPr>
          <w:rFonts w:ascii="Calibri" w:hAnsi="Calibri"/>
          <w:color w:val="2D3748"/>
          <w:sz w:val="22"/>
        </w:rPr>
        <w:t>The Softmax activation outputs true probability estimates. This enables the chatbot to evaluate confidence and trigger fallback handling when confidence drops below 0.30 (30%).</w:t>
      </w:r>
    </w:p>
    <w:p>
      <w:pPr>
        <w:spacing w:after="120" w:line="276" w:lineRule="auto"/>
      </w:pPr>
      <w:r>
        <w:rPr>
          <w:rFonts w:ascii="Calibri" w:hAnsi="Calibri"/>
          <w:b/>
          <w:color w:val="1A202C"/>
          <w:sz w:val="22"/>
        </w:rPr>
        <w:t xml:space="preserve">3. Sub-Millisecond Execution Speed: </w:t>
      </w:r>
      <w:r>
        <w:rPr>
          <w:rFonts w:ascii="Calibri" w:hAnsi="Calibri"/>
          <w:color w:val="2D3748"/>
          <w:sz w:val="22"/>
        </w:rPr>
        <w:t>Model inference completes in under 5ms on CPU, making it lightweight for synchronous execution inside FastAPI REST routes without GPU hardware.</w:t>
      </w:r>
    </w:p>
    <w:p>
      <w:pPr>
        <w:keepNext/>
        <w:spacing w:before="280" w:after="120"/>
      </w:pPr>
      <w:r>
        <w:rPr>
          <w:rFonts w:ascii="Arial" w:hAnsi="Arial"/>
          <w:b/>
          <w:color w:val="2B6CB0"/>
          <w:sz w:val="28"/>
        </w:rPr>
        <w:t>6.2 Comparative Architecture Matrix</w:t>
      </w:r>
    </w:p>
    <w:p>
      <w:pPr>
        <w:spacing w:after="120" w:line="276" w:lineRule="auto"/>
      </w:pPr>
      <w:r>
        <w:rPr>
          <w:rFonts w:ascii="Calibri" w:hAnsi="Calibri"/>
          <w:color w:val="2D3748"/>
          <w:sz w:val="22"/>
        </w:rPr>
        <w:t>To justify the selection of Logistic Regression, key alternative algorithm families were evaluated against eDocBook system requirements:</w:t>
      </w:r>
    </w:p>
    <w:p>
      <w:pPr>
        <w:spacing w:line="276" w:lineRule="auto"/>
      </w:pPr>
    </w:p>
    <w:p>
      <w:pPr>
        <w:spacing w:after="120" w:line="276" w:lineRule="auto"/>
      </w:pPr>
      <w:r>
        <w:rPr>
          <w:rFonts w:ascii="Calibri" w:hAnsi="Calibri"/>
          <w:b/>
          <w:color w:val="1A202C"/>
          <w:sz w:val="22"/>
        </w:rPr>
        <w:t xml:space="preserve">Random Forest &amp; XGBoost: </w:t>
      </w:r>
      <w:r>
        <w:rPr>
          <w:rFonts w:ascii="Calibri" w:hAnsi="Calibri"/>
          <w:color w:val="2D3748"/>
          <w:sz w:val="22"/>
        </w:rPr>
        <w:t>Effective for dense tabular features, but generate excessively large model sizes on sparse TF-IDF text matrices with higher inference latency.</w:t>
      </w:r>
    </w:p>
    <w:p>
      <w:pPr>
        <w:spacing w:after="120" w:line="276" w:lineRule="auto"/>
      </w:pPr>
      <w:r>
        <w:rPr>
          <w:rFonts w:ascii="Calibri" w:hAnsi="Calibri"/>
          <w:b/>
          <w:color w:val="1A202C"/>
          <w:sz w:val="22"/>
        </w:rPr>
        <w:t xml:space="preserve">Support Vector Machines (SVM): </w:t>
      </w:r>
      <w:r>
        <w:rPr>
          <w:rFonts w:ascii="Calibri" w:hAnsi="Calibri"/>
          <w:color w:val="2D3748"/>
          <w:sz w:val="22"/>
        </w:rPr>
        <w:t>Provides strong classification margins on text vectors, but probability calibration (Platt Scaling) requires slow cross-validation during inference.</w:t>
      </w:r>
    </w:p>
    <w:p>
      <w:pPr>
        <w:spacing w:after="120" w:line="276" w:lineRule="auto"/>
      </w:pPr>
      <w:r>
        <w:rPr>
          <w:rFonts w:ascii="Calibri" w:hAnsi="Calibri"/>
          <w:b/>
          <w:color w:val="1A202C"/>
          <w:sz w:val="22"/>
        </w:rPr>
        <w:t xml:space="preserve">Deep Learning / Transformers (BERT/BioBERT): </w:t>
      </w:r>
      <w:r>
        <w:rPr>
          <w:rFonts w:ascii="Calibri" w:hAnsi="Calibri"/>
          <w:color w:val="2D3748"/>
          <w:sz w:val="22"/>
        </w:rPr>
        <w:t>Offers state-of-the-art semantic comprehension, but requires expensive GPU hosting and introduces 150ms-300ms latency, making it impractical for low-cost web deployments.</w:t>
      </w:r>
    </w:p>
    <w:p>
      <w:pPr>
        <w:keepNext/>
        <w:spacing w:before="360" w:after="160"/>
      </w:pPr>
      <w:r>
        <w:rPr>
          <w:rFonts w:ascii="Arial" w:hAnsi="Arial"/>
          <w:b/>
          <w:color w:val="1A365D"/>
          <w:sz w:val="36"/>
        </w:rPr>
        <w:t>7. Model Evaluation Metrics</w:t>
      </w:r>
    </w:p>
    <w:p>
      <w:pPr>
        <w:spacing w:after="120" w:line="276" w:lineRule="auto"/>
      </w:pPr>
      <w:r>
        <w:rPr>
          <w:rFonts w:ascii="Calibri" w:hAnsi="Calibri"/>
          <w:color w:val="2D3748"/>
          <w:sz w:val="22"/>
        </w:rPr>
        <w:t>Evaluating medical machine learning systems requires strict evaluation metrics to balance overall accuracy against patient safety risk.</w:t>
      </w:r>
    </w:p>
    <w:p>
      <w:pPr>
        <w:keepNext/>
        <w:spacing w:before="280" w:after="120"/>
      </w:pPr>
      <w:r>
        <w:rPr>
          <w:rFonts w:ascii="Arial" w:hAnsi="Arial"/>
          <w:b/>
          <w:color w:val="2B6CB0"/>
          <w:sz w:val="28"/>
        </w:rPr>
        <w:t>7.1 Metric Formulations</w:t>
      </w:r>
    </w:p>
    <w:p>
      <w:pPr>
        <w:spacing w:after="120" w:line="276" w:lineRule="auto"/>
      </w:pPr>
      <w:r>
        <w:rPr>
          <w:rFonts w:ascii="Calibri" w:hAnsi="Calibri"/>
          <w:b/>
          <w:color w:val="1A202C"/>
          <w:sz w:val="22"/>
        </w:rPr>
        <w:t xml:space="preserve">• Accuracy: </w:t>
      </w:r>
      <w:r>
        <w:rPr>
          <w:rFonts w:ascii="Calibri" w:hAnsi="Calibri"/>
          <w:color w:val="2D3748"/>
          <w:sz w:val="22"/>
        </w:rPr>
        <w:t>Accuracy = (TP + TN) / (TP + TN + FP + FN)</w:t>
      </w:r>
    </w:p>
    <w:p>
      <w:pPr>
        <w:spacing w:after="120" w:line="276" w:lineRule="auto"/>
      </w:pPr>
      <w:r>
        <w:rPr>
          <w:rFonts w:ascii="Calibri" w:hAnsi="Calibri"/>
          <w:b/>
          <w:color w:val="1A202C"/>
          <w:sz w:val="22"/>
        </w:rPr>
        <w:t xml:space="preserve">• Precision: </w:t>
      </w:r>
      <w:r>
        <w:rPr>
          <w:rFonts w:ascii="Calibri" w:hAnsi="Calibri"/>
          <w:color w:val="2D3748"/>
          <w:sz w:val="22"/>
        </w:rPr>
        <w:t>Precision = TP / (TP + FP) [Minimizes false alarms and incorrect doctor referrals]</w:t>
      </w:r>
    </w:p>
    <w:p>
      <w:pPr>
        <w:spacing w:after="120" w:line="276" w:lineRule="auto"/>
      </w:pPr>
      <w:r>
        <w:rPr>
          <w:rFonts w:ascii="Calibri" w:hAnsi="Calibri"/>
          <w:b/>
          <w:color w:val="1A202C"/>
          <w:sz w:val="22"/>
        </w:rPr>
        <w:t xml:space="preserve">• Recall / Sensitivity: </w:t>
      </w:r>
      <w:r>
        <w:rPr>
          <w:rFonts w:ascii="Calibri" w:hAnsi="Calibri"/>
          <w:color w:val="2D3748"/>
          <w:sz w:val="22"/>
        </w:rPr>
        <w:t>Recall (Sensitivity) = TP / (TP + FN) [CRITICAL CLINICAL METRIC: Ensures true illness cases are never missed]</w:t>
      </w:r>
    </w:p>
    <w:p>
      <w:pPr>
        <w:spacing w:after="120" w:line="276" w:lineRule="auto"/>
      </w:pPr>
      <w:r>
        <w:rPr>
          <w:rFonts w:ascii="Calibri" w:hAnsi="Calibri"/>
          <w:b/>
          <w:color w:val="1A202C"/>
          <w:sz w:val="22"/>
        </w:rPr>
        <w:t xml:space="preserve">• F1-Score: </w:t>
      </w:r>
      <w:r>
        <w:rPr>
          <w:rFonts w:ascii="Calibri" w:hAnsi="Calibri"/>
          <w:color w:val="2D3748"/>
          <w:sz w:val="22"/>
        </w:rPr>
        <w:t>F1-Score = 2 × (Precision × Recall) / (Precision + Recall) [Harmonic mean balancing precision and recall across imbalanced disease categories]</w:t>
      </w:r>
    </w:p>
    <w:p>
      <w:pPr>
        <w:spacing w:after="120" w:line="276" w:lineRule="auto"/>
      </w:pPr>
      <w:r>
        <w:rPr>
          <w:rFonts w:ascii="Calibri" w:hAnsi="Calibri"/>
          <w:b/>
          <w:color w:val="1A202C"/>
          <w:sz w:val="22"/>
        </w:rPr>
        <w:t xml:space="preserve">• ROC-AUC: </w:t>
      </w:r>
      <w:r>
        <w:rPr>
          <w:rFonts w:ascii="Calibri" w:hAnsi="Calibri"/>
          <w:color w:val="2D3748"/>
          <w:sz w:val="22"/>
        </w:rPr>
        <w:t>ROC-AUC Score: Evaluates class discrimination across varying decision thresholds.</w:t>
      </w:r>
    </w:p>
    <w:p>
      <w:pPr>
        <w:keepNext/>
        <w:spacing w:before="360" w:after="160"/>
      </w:pPr>
      <w:r>
        <w:rPr>
          <w:rFonts w:ascii="Arial" w:hAnsi="Arial"/>
          <w:b/>
          <w:color w:val="1A365D"/>
          <w:sz w:val="36"/>
        </w:rPr>
        <w:t>8. Tools and Technology Stack Rationale</w:t>
      </w:r>
    </w:p>
    <w:p>
      <w:pPr>
        <w:spacing w:after="120" w:line="276" w:lineRule="auto"/>
      </w:pPr>
      <w:r>
        <w:rPr>
          <w:rFonts w:ascii="Calibri" w:hAnsi="Calibri"/>
          <w:color w:val="2D3748"/>
          <w:sz w:val="22"/>
        </w:rPr>
        <w:t>The eDocBook technology stack was selected to maximize performance, system modularity, and operational reliability.</w:t>
      </w:r>
    </w:p>
    <w:p>
      <w:pPr>
        <w:spacing w:after="120" w:line="276" w:lineRule="auto"/>
      </w:pPr>
      <w:r>
        <w:rPr>
          <w:rFonts w:ascii="Calibri" w:hAnsi="Calibri"/>
          <w:b/>
          <w:color w:val="1A202C"/>
          <w:sz w:val="22"/>
        </w:rPr>
        <w:t xml:space="preserve">Python 3.x: </w:t>
      </w:r>
      <w:r>
        <w:rPr>
          <w:rFonts w:ascii="Calibri" w:hAnsi="Calibri"/>
          <w:color w:val="2D3748"/>
          <w:sz w:val="22"/>
        </w:rPr>
        <w:t>Core language providing an extensive data science ecosystem (Scikit-Learn, Pandas, NumPy) and asynchronous web frameworks.</w:t>
      </w:r>
    </w:p>
    <w:p>
      <w:pPr>
        <w:spacing w:after="120" w:line="276" w:lineRule="auto"/>
      </w:pPr>
      <w:r>
        <w:rPr>
          <w:rFonts w:ascii="Calibri" w:hAnsi="Calibri"/>
          <w:b/>
          <w:color w:val="1A202C"/>
          <w:sz w:val="22"/>
        </w:rPr>
        <w:t xml:space="preserve">FastAPI &amp; Uvicorn: </w:t>
      </w:r>
      <w:r>
        <w:rPr>
          <w:rFonts w:ascii="Calibri" w:hAnsi="Calibri"/>
          <w:color w:val="2D3748"/>
          <w:sz w:val="22"/>
        </w:rPr>
        <w:t>Asynchronous ASGI backend framework delivering low latency API execution, auto-generated OpenAPI docs, and CORS security.</w:t>
      </w:r>
    </w:p>
    <w:p>
      <w:pPr>
        <w:spacing w:after="120" w:line="276" w:lineRule="auto"/>
      </w:pPr>
      <w:r>
        <w:rPr>
          <w:rFonts w:ascii="Calibri" w:hAnsi="Calibri"/>
          <w:b/>
          <w:color w:val="1A202C"/>
          <w:sz w:val="22"/>
        </w:rPr>
        <w:t xml:space="preserve">SQLite &amp; SQLAlchemy ORM: </w:t>
      </w:r>
      <w:r>
        <w:rPr>
          <w:rFonts w:ascii="Calibri" w:hAnsi="Calibri"/>
          <w:color w:val="2D3748"/>
          <w:sz w:val="22"/>
        </w:rPr>
        <w:t>Lightweight, relational database engine (doctors.db) offering robust database migrations and ACID compliance.</w:t>
      </w:r>
    </w:p>
    <w:p>
      <w:pPr>
        <w:spacing w:after="120" w:line="276" w:lineRule="auto"/>
      </w:pPr>
      <w:r>
        <w:rPr>
          <w:rFonts w:ascii="Calibri" w:hAnsi="Calibri"/>
          <w:b/>
          <w:color w:val="1A202C"/>
          <w:sz w:val="22"/>
        </w:rPr>
        <w:t xml:space="preserve">React (v18) &amp; Vite: </w:t>
      </w:r>
      <w:r>
        <w:rPr>
          <w:rFonts w:ascii="Calibri" w:hAnsi="Calibri"/>
          <w:color w:val="2D3748"/>
          <w:sz w:val="22"/>
        </w:rPr>
        <w:t>Modern frontend SPA library offering component modularity, rapid Vite HMR bundling, and responsive state hooks.</w:t>
      </w:r>
    </w:p>
    <w:p>
      <w:pPr>
        <w:spacing w:after="120" w:line="276" w:lineRule="auto"/>
      </w:pPr>
      <w:r>
        <w:rPr>
          <w:rFonts w:ascii="Calibri" w:hAnsi="Calibri"/>
          <w:b/>
          <w:color w:val="1A202C"/>
          <w:sz w:val="22"/>
        </w:rPr>
        <w:t xml:space="preserve">Stripe Payment Gateway: </w:t>
      </w:r>
      <w:r>
        <w:rPr>
          <w:rFonts w:ascii="Calibri" w:hAnsi="Calibri"/>
          <w:color w:val="2D3748"/>
          <w:sz w:val="22"/>
        </w:rPr>
        <w:t>PCI-DSS compliant payment integration (@stripe/react-stripe-js) for secure online consultation fee processing.</w:t>
      </w:r>
    </w:p>
    <w:p>
      <w:pPr>
        <w:spacing w:after="120" w:line="276" w:lineRule="auto"/>
      </w:pPr>
      <w:r>
        <w:rPr>
          <w:rFonts w:ascii="Calibri" w:hAnsi="Calibri"/>
          <w:b/>
          <w:color w:val="1A202C"/>
          <w:sz w:val="22"/>
        </w:rPr>
        <w:t xml:space="preserve">deep-translator &amp; SMTP Mailtrap: </w:t>
      </w:r>
      <w:r>
        <w:rPr>
          <w:rFonts w:ascii="Calibri" w:hAnsi="Calibri"/>
          <w:color w:val="2D3748"/>
          <w:sz w:val="22"/>
        </w:rPr>
        <w:t>Provides seamless Google Translate API wrapping and HTML email confirmation delivery.</w:t>
      </w:r>
    </w:p>
    <w:p>
      <w:pPr>
        <w:keepNext/>
        <w:spacing w:before="360" w:after="160"/>
      </w:pPr>
      <w:r>
        <w:rPr>
          <w:rFonts w:ascii="Arial" w:hAnsi="Arial"/>
          <w:b/>
          <w:color w:val="1A365D"/>
          <w:sz w:val="36"/>
        </w:rPr>
        <w:t>9. Ethical, Privacy, Bias, and Security Considerations</w:t>
      </w:r>
    </w:p>
    <w:p>
      <w:pPr>
        <w:spacing w:after="120" w:line="276" w:lineRule="auto"/>
      </w:pPr>
      <w:r>
        <w:rPr>
          <w:rFonts w:ascii="Calibri" w:hAnsi="Calibri"/>
          <w:color w:val="2D3748"/>
          <w:sz w:val="22"/>
        </w:rPr>
        <w:t>Deploying AI in healthcare demands strict adherence to ethical guidelines, data privacy, and algorithmic fairness.</w:t>
      </w:r>
    </w:p>
    <w:p>
      <w:pPr>
        <w:spacing w:after="120" w:line="276" w:lineRule="auto"/>
      </w:pPr>
      <w:r>
        <w:rPr>
          <w:rFonts w:ascii="Calibri" w:hAnsi="Calibri"/>
          <w:b/>
          <w:color w:val="1A202C"/>
          <w:sz w:val="22"/>
        </w:rPr>
        <w:t xml:space="preserve">1. Responsible AI &amp; Informational Disclaimers: </w:t>
      </w:r>
      <w:r>
        <w:rPr>
          <w:rFonts w:ascii="Calibri" w:hAnsi="Calibri"/>
          <w:color w:val="2D3748"/>
          <w:sz w:val="22"/>
        </w:rPr>
        <w:t>AI symptom predictions are explicitly presented as preliminary decision support, not certified medical advice.</w:t>
      </w:r>
    </w:p>
    <w:p>
      <w:pPr>
        <w:spacing w:after="120" w:line="276" w:lineRule="auto"/>
      </w:pPr>
      <w:r>
        <w:rPr>
          <w:rFonts w:ascii="Calibri" w:hAnsi="Calibri"/>
          <w:b/>
          <w:color w:val="1A202C"/>
          <w:sz w:val="22"/>
        </w:rPr>
        <w:t xml:space="preserve">2. Emergency Crisis Override Protocol: </w:t>
      </w:r>
      <w:r>
        <w:rPr>
          <w:rFonts w:ascii="Calibri" w:hAnsi="Calibri"/>
          <w:color w:val="2D3748"/>
          <w:sz w:val="22"/>
        </w:rPr>
        <w:t>Inputs containing emergency keyphrases (e.g., 'heart attack', 'cannot breathe') immediately trigger an emergency alert directing users to 911/999.</w:t>
      </w:r>
    </w:p>
    <w:p>
      <w:pPr>
        <w:spacing w:after="120" w:line="276" w:lineRule="auto"/>
      </w:pPr>
      <w:r>
        <w:rPr>
          <w:rFonts w:ascii="Calibri" w:hAnsi="Calibri"/>
          <w:b/>
          <w:color w:val="1A202C"/>
          <w:sz w:val="22"/>
        </w:rPr>
        <w:t xml:space="preserve">3. Data Minimization &amp; Security: </w:t>
      </w:r>
      <w:r>
        <w:rPr>
          <w:rFonts w:ascii="Calibri" w:hAnsi="Calibri"/>
          <w:color w:val="2D3748"/>
          <w:sz w:val="22"/>
        </w:rPr>
        <w:t>Symptom logs in SymptomAnalysisLog capture query metadata without storing sensitive PII. Payment data is tokenized off-server via Stripe APIs.</w:t>
      </w:r>
    </w:p>
    <w:p>
      <w:pPr>
        <w:spacing w:after="120" w:line="276" w:lineRule="auto"/>
      </w:pPr>
      <w:r>
        <w:rPr>
          <w:rFonts w:ascii="Calibri" w:hAnsi="Calibri"/>
          <w:b/>
          <w:color w:val="1A202C"/>
          <w:sz w:val="22"/>
        </w:rPr>
        <w:t xml:space="preserve">4. Geographical &amp; Multilingual Fairness: </w:t>
      </w:r>
      <w:r>
        <w:rPr>
          <w:rFonts w:ascii="Calibri" w:hAnsi="Calibri"/>
          <w:color w:val="2D3748"/>
          <w:sz w:val="22"/>
        </w:rPr>
        <w:t>Doctor profiles are seeded across all 25 districts of Sri Lanka, eliminating urban bias and providing equal healthcare access.</w:t>
      </w:r>
    </w:p>
    <w:p>
      <w:pPr>
        <w:keepNext/>
        <w:spacing w:before="360" w:after="160"/>
      </w:pPr>
      <w:r>
        <w:rPr>
          <w:rFonts w:ascii="Arial" w:hAnsi="Arial"/>
          <w:b/>
          <w:color w:val="1A365D"/>
          <w:sz w:val="36"/>
        </w:rPr>
        <w:t>10. Critical Analysis of Prior Literature</w:t>
      </w:r>
    </w:p>
    <w:p>
      <w:pPr>
        <w:spacing w:after="120" w:line="276" w:lineRule="auto"/>
      </w:pPr>
      <w:r>
        <w:rPr>
          <w:rFonts w:ascii="Calibri" w:hAnsi="Calibri"/>
          <w:color w:val="2D3748"/>
          <w:sz w:val="22"/>
        </w:rPr>
        <w:t>A critical synthesis of prior literature reveals several recurrent research weaknesses:</w:t>
      </w:r>
    </w:p>
    <w:p>
      <w:pPr>
        <w:spacing w:after="120" w:line="276" w:lineRule="auto"/>
      </w:pPr>
      <w:r>
        <w:rPr>
          <w:rFonts w:ascii="Calibri" w:hAnsi="Calibri"/>
          <w:b/>
          <w:color w:val="1A202C"/>
          <w:sz w:val="22"/>
        </w:rPr>
        <w:t xml:space="preserve">1. Siloed Diagnostic Research: </w:t>
      </w:r>
      <w:r>
        <w:rPr>
          <w:rFonts w:ascii="Calibri" w:hAnsi="Calibri"/>
          <w:color w:val="2D3748"/>
          <w:sz w:val="22"/>
        </w:rPr>
        <w:t>Most ML triage studies focus solely on model accuracy while omitting downstream doctor booking or payment workflows.</w:t>
      </w:r>
    </w:p>
    <w:p>
      <w:pPr>
        <w:spacing w:after="120" w:line="276" w:lineRule="auto"/>
      </w:pPr>
      <w:r>
        <w:rPr>
          <w:rFonts w:ascii="Calibri" w:hAnsi="Calibri"/>
          <w:b/>
          <w:color w:val="1A202C"/>
          <w:sz w:val="22"/>
        </w:rPr>
        <w:t xml:space="preserve">2. Monolingual Bias: </w:t>
      </w:r>
      <w:r>
        <w:rPr>
          <w:rFonts w:ascii="Calibri" w:hAnsi="Calibri"/>
          <w:color w:val="2D3748"/>
          <w:sz w:val="22"/>
        </w:rPr>
        <w:t>Prior literature concentrates almost exclusively on English datasets, neglecting South Asian languages like Sinhala and Tamil.</w:t>
      </w:r>
    </w:p>
    <w:p>
      <w:pPr>
        <w:spacing w:after="120" w:line="276" w:lineRule="auto"/>
      </w:pPr>
      <w:r>
        <w:rPr>
          <w:rFonts w:ascii="Calibri" w:hAnsi="Calibri"/>
          <w:b/>
          <w:color w:val="1A202C"/>
          <w:sz w:val="22"/>
        </w:rPr>
        <w:t xml:space="preserve">3. Neglect of Social Support: </w:t>
      </w:r>
      <w:r>
        <w:rPr>
          <w:rFonts w:ascii="Calibri" w:hAnsi="Calibri"/>
          <w:color w:val="2D3748"/>
          <w:sz w:val="22"/>
        </w:rPr>
        <w:t>Existing tools treat health assessment as an isolated transaction, omitting peer-support channels needed for chronic illness care.</w:t>
      </w:r>
    </w:p>
    <w:p>
      <w:pPr>
        <w:spacing w:after="120" w:line="276" w:lineRule="auto"/>
      </w:pPr>
      <w:r>
        <w:rPr>
          <w:rFonts w:ascii="Calibri" w:hAnsi="Calibri"/>
          <w:b/>
          <w:color w:val="1A202C"/>
          <w:sz w:val="22"/>
        </w:rPr>
        <w:t xml:space="preserve">4. Over-Engineering &amp; High Latency: </w:t>
      </w:r>
      <w:r>
        <w:rPr>
          <w:rFonts w:ascii="Calibri" w:hAnsi="Calibri"/>
          <w:color w:val="2D3748"/>
          <w:sz w:val="22"/>
        </w:rPr>
        <w:t>Recent papers over-emphasize heavy LLMs that require costly GPU infrastructure, making deployment impractical for regional clinics.</w:t>
      </w:r>
    </w:p>
    <w:p>
      <w:pPr>
        <w:keepNext/>
        <w:spacing w:before="360" w:after="160"/>
      </w:pPr>
      <w:r>
        <w:rPr>
          <w:rFonts w:ascii="Arial" w:hAnsi="Arial"/>
          <w:b/>
          <w:color w:val="1A365D"/>
          <w:sz w:val="36"/>
        </w:rPr>
        <w:t>11. Research Gap and Project Contribution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A365D"/>
              <w:bottom w:val="none"/>
              <w:right w:val="none"/>
            </w:tcBorders>
          </w:tcPr>
          <w:p>
            <w:pPr>
              <w:spacing w:after="80"/>
            </w:pPr>
            <w:r>
              <w:rPr>
                <w:rFonts w:ascii="Arial" w:hAnsi="Arial"/>
                <w:b/>
                <w:color w:val="1A365D"/>
                <w:sz w:val="22"/>
              </w:rPr>
              <w:t>📌 Identified Research Gap</w:t>
              <w:br/>
            </w:r>
            <w:r>
              <w:rPr>
                <w:rFonts w:ascii="Calibri" w:hAnsi="Calibri"/>
                <w:i/>
                <w:color w:val="2D3748"/>
                <w:sz w:val="21"/>
              </w:rPr>
              <w:t>Existing research fails to provide an integrated, lightweight, multilingual healthcare ecosystem that combines free-text AI symptom triage (English, Sinhala, Tamil), verified specialist matching across regional districts, secure payment-backed doctor booking, peer support channels, and real-time administrative analytics into a single platform.</w:t>
            </w:r>
          </w:p>
        </w:tc>
      </w:tr>
    </w:tbl>
    <w:p>
      <w:pPr>
        <w:spacing w:after="80"/>
      </w:pPr>
    </w:p>
    <w:p>
      <w:pPr>
        <w:spacing w:after="120" w:line="276" w:lineRule="auto"/>
      </w:pPr>
      <w:r>
        <w:rPr>
          <w:rFonts w:ascii="Calibri" w:hAnsi="Calibri"/>
          <w:color w:val="2D3748"/>
          <w:sz w:val="22"/>
        </w:rPr>
        <w:t>eDocBook directly resolves this gap by providing an end-to-end operational software platform that integrates multilingual AI triage, Stripe payment verification, doctor routing across all 25 Sri Lankan districts, patient forums, and real-time health analytics.</w:t>
      </w:r>
    </w:p>
    <w:p>
      <w:pPr>
        <w:keepNext/>
        <w:spacing w:before="360" w:after="160"/>
      </w:pPr>
      <w:r>
        <w:rPr>
          <w:rFonts w:ascii="Arial" w:hAnsi="Arial"/>
          <w:b/>
          <w:color w:val="1A365D"/>
          <w:sz w:val="36"/>
        </w:rPr>
        <w:t>12. Conceptual and Theoretical Framework</w:t>
      </w:r>
    </w:p>
    <w:p>
      <w:pPr>
        <w:spacing w:after="120" w:line="276" w:lineRule="auto"/>
      </w:pPr>
      <w:r>
        <w:rPr>
          <w:rFonts w:ascii="Calibri" w:hAnsi="Calibri"/>
          <w:color w:val="2D3748"/>
          <w:sz w:val="22"/>
        </w:rPr>
        <w:t>The eDocBook Data Science and Software Architecture operates across six sequential execution phases:</w:t>
      </w:r>
    </w:p>
    <w:p>
      <w:pPr>
        <w:spacing w:after="120" w:line="276" w:lineRule="auto"/>
      </w:pPr>
      <w:r>
        <w:rPr>
          <w:rFonts w:ascii="Calibri" w:hAnsi="Calibri"/>
          <w:b/>
          <w:color w:val="1A202C"/>
          <w:sz w:val="22"/>
        </w:rPr>
        <w:t xml:space="preserve">Phase 1 (Multilingual Acquisition): </w:t>
      </w:r>
      <w:r>
        <w:rPr>
          <w:rFonts w:ascii="Calibri" w:hAnsi="Calibri"/>
          <w:color w:val="2D3748"/>
          <w:sz w:val="22"/>
        </w:rPr>
        <w:t>User enters free-text symptoms in English, Sinhala, or Tamil. Non-English queries are translated via deep-translator.</w:t>
      </w:r>
    </w:p>
    <w:p>
      <w:pPr>
        <w:spacing w:after="120" w:line="276" w:lineRule="auto"/>
      </w:pPr>
      <w:r>
        <w:rPr>
          <w:rFonts w:ascii="Calibri" w:hAnsi="Calibri"/>
          <w:b/>
          <w:color w:val="1A202C"/>
          <w:sz w:val="22"/>
        </w:rPr>
        <w:t xml:space="preserve">Phase 2 (Feature Engineering): </w:t>
      </w:r>
      <w:r>
        <w:rPr>
          <w:rFonts w:ascii="Calibri" w:hAnsi="Calibri"/>
          <w:color w:val="2D3748"/>
          <w:sz w:val="22"/>
        </w:rPr>
        <w:t>Input text is cleaned, lowercased, and converted into TF-IDF unigram/bigram matrices.</w:t>
      </w:r>
    </w:p>
    <w:p>
      <w:pPr>
        <w:spacing w:after="120" w:line="276" w:lineRule="auto"/>
      </w:pPr>
      <w:r>
        <w:rPr>
          <w:rFonts w:ascii="Calibri" w:hAnsi="Calibri"/>
          <w:b/>
          <w:color w:val="1A202C"/>
          <w:sz w:val="22"/>
        </w:rPr>
        <w:t xml:space="preserve">Phase 3 (ML Model Inference): </w:t>
      </w:r>
      <w:r>
        <w:rPr>
          <w:rFonts w:ascii="Calibri" w:hAnsi="Calibri"/>
          <w:color w:val="2D3748"/>
          <w:sz w:val="22"/>
        </w:rPr>
        <w:t>Logistic Regression evaluates feature matrices, predicting disease and evaluating chatbot confidence (30% threshold).</w:t>
      </w:r>
    </w:p>
    <w:p>
      <w:pPr>
        <w:spacing w:after="120" w:line="276" w:lineRule="auto"/>
      </w:pPr>
      <w:r>
        <w:rPr>
          <w:rFonts w:ascii="Calibri" w:hAnsi="Calibri"/>
          <w:b/>
          <w:color w:val="1A202C"/>
          <w:sz w:val="22"/>
        </w:rPr>
        <w:t xml:space="preserve">Phase 4 (Content Localization): </w:t>
      </w:r>
      <w:r>
        <w:rPr>
          <w:rFonts w:ascii="Calibri" w:hAnsi="Calibri"/>
          <w:color w:val="2D3748"/>
          <w:sz w:val="22"/>
        </w:rPr>
        <w:t>Predictions query DiseaseInfo and apply LOCAL_TRANSLATIONS to output precise Sinhala/Tamil advice and NHS guidelines.</w:t>
      </w:r>
    </w:p>
    <w:p>
      <w:pPr>
        <w:spacing w:after="120" w:line="276" w:lineRule="auto"/>
      </w:pPr>
      <w:r>
        <w:rPr>
          <w:rFonts w:ascii="Calibri" w:hAnsi="Calibri"/>
          <w:b/>
          <w:color w:val="1A202C"/>
          <w:sz w:val="22"/>
        </w:rPr>
        <w:t xml:space="preserve">Phase 5 (Stripe Doctor Booking): </w:t>
      </w:r>
      <w:r>
        <w:rPr>
          <w:rFonts w:ascii="Calibri" w:hAnsi="Calibri"/>
          <w:color w:val="2D3748"/>
          <w:sz w:val="22"/>
        </w:rPr>
        <w:t>Matching specialists across 25 Sri Lankan districts are filtered; Stripe processes payment and dispatches HTML email receipts.</w:t>
      </w:r>
    </w:p>
    <w:p>
      <w:pPr>
        <w:spacing w:after="120" w:line="276" w:lineRule="auto"/>
      </w:pPr>
      <w:r>
        <w:rPr>
          <w:rFonts w:ascii="Calibri" w:hAnsi="Calibri"/>
          <w:b/>
          <w:color w:val="1A202C"/>
          <w:sz w:val="22"/>
        </w:rPr>
        <w:t xml:space="preserve">Phase 6 (Social &amp; Admin Analytics): </w:t>
      </w:r>
      <w:r>
        <w:rPr>
          <w:rFonts w:ascii="Calibri" w:hAnsi="Calibri"/>
          <w:color w:val="2D3748"/>
          <w:sz w:val="22"/>
        </w:rPr>
        <w:t>Patients join disease forums and group chats, while query data updates admin analytics dashboards.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