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Engineering Design Document</w:t>
      </w:r>
    </w:p>
    <w:p>
      <w:pPr>
        <w:pStyle w:val="Heading1"/>
      </w:pPr>
      <w:r>
        <w:t>Section 1: Overview</w:t>
      </w:r>
    </w:p>
    <w:p>
      <w:r>
        <w:t xml:space="preserve">This is sample content for ingestion testing. This is sample content for ingestion testing. This is sample content for ingestion testing. This is sample content for ingestion testing. This is sample content for ingestion testing. This is sample content for ingestion testing. This is sample content for ingestion testing. This is sample content for ingestion testing. This is sample content for ingestion testing. This is sample content for ingestion testing. This is sample content for ingestion testing. This is sample content for ingestion testing. This is sample content for ingestion testing. This is sample content for ingestion testing. This is sample content for ingestion testing. This is sample content for ingestion testing. This is sample content for ingestion testing. This is sample content for ingestion testing. This is sample content for ingestion testing. This is sample content for ingestion testing. </w:t>
      </w:r>
    </w:p>
    <w:p>
      <w:pPr>
        <w:pStyle w:val="Heading1"/>
      </w:pPr>
      <w:r>
        <w:t>Section 2: Architecture</w:t>
      </w:r>
    </w:p>
    <w:p>
      <w:r>
        <w:t xml:space="preserve">This is sample content for ingestion testing. This is sample content for ingestion testing. This is sample content for ingestion testing. This is sample content for ingestion testing. This is sample content for ingestion testing. This is sample content for ingestion testing. This is sample content for ingestion testing. This is sample content for ingestion testing. This is sample content for ingestion testing. This is sample content for ingestion testing. This is sample content for ingestion testing. This is sample content for ingestion testing. This is sample content for ingestion testing. This is sample content for ingestion testing. This is sample content for ingestion testing. This is sample content for ingestion testing. This is sample content for ingestion testing. This is sample content for ingestion testing. This is sample content for ingestion testing. This is sample content for ingestion testing. </w:t>
      </w:r>
    </w:p>
    <w:p>
      <w:pPr>
        <w:pStyle w:val="Heading2"/>
      </w:pPr>
      <w:r>
        <w:t>2.1 Subsystem Details</w:t>
      </w:r>
    </w:p>
    <w:p>
      <w:r>
        <w:t xml:space="preserve">This is sample content for ingestion testing. This is sample content for ingestion testing. This is sample content for ingestion testing. This is sample content for ingestion testing. This is sample content for ingestion testing. This is sample content for ingestion testing. This is sample content for ingestion testing. This is sample content for ingestion testing. This is sample content for ingestion testing. This is sample content for ingestion testing. This is sample content for ingestion testing. This is sample content for ingestion testing. This is sample content for ingestion testing. This is sample content for ingestion testing. This is sample content for ingestion testing. This is sample content for ingestion testing. This is sample content for ingestion testing. This is sample content for ingestion testing. This is sample content for ingestion testing. This is sample content for ingestion testing. </w:t>
      </w:r>
    </w:p>
    <w:p>
      <w:pPr>
        <w:pStyle w:val="Heading1"/>
      </w:pPr>
      <w:r>
        <w:t>Section 3: Data Model</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Field</w:t>
            </w:r>
          </w:p>
        </w:tc>
        <w:tc>
          <w:tcPr>
            <w:tcW w:type="dxa" w:w="2880"/>
          </w:tcPr>
          <w:p>
            <w:r>
              <w:t>Type</w:t>
            </w:r>
          </w:p>
        </w:tc>
        <w:tc>
          <w:tcPr>
            <w:tcW w:type="dxa" w:w="2880"/>
          </w:tcPr>
          <w:p>
            <w:r>
              <w:t>Required</w:t>
            </w:r>
          </w:p>
        </w:tc>
      </w:tr>
      <w:tr>
        <w:tc>
          <w:tcPr>
            <w:tcW w:type="dxa" w:w="2880"/>
          </w:tcPr>
          <w:p>
            <w:r>
              <w:t>id</w:t>
            </w:r>
          </w:p>
        </w:tc>
        <w:tc>
          <w:tcPr>
            <w:tcW w:type="dxa" w:w="2880"/>
          </w:tcPr>
          <w:p>
            <w:r>
              <w:t>UUID</w:t>
            </w:r>
          </w:p>
        </w:tc>
        <w:tc>
          <w:tcPr>
            <w:tcW w:type="dxa" w:w="2880"/>
          </w:tcPr>
          <w:p>
            <w:r>
              <w:t>Yes</w:t>
            </w:r>
          </w:p>
        </w:tc>
      </w:tr>
      <w:tr>
        <w:tc>
          <w:tcPr>
            <w:tcW w:type="dxa" w:w="2880"/>
          </w:tcPr>
          <w:p>
            <w:r>
              <w:t>name</w:t>
            </w:r>
          </w:p>
        </w:tc>
        <w:tc>
          <w:tcPr>
            <w:tcW w:type="dxa" w:w="2880"/>
          </w:tcPr>
          <w:p>
            <w:r>
              <w:t>string</w:t>
            </w:r>
          </w:p>
        </w:tc>
        <w:tc>
          <w:tcPr>
            <w:tcW w:type="dxa" w:w="2880"/>
          </w:tcPr>
          <w:p>
            <w:r>
              <w:t>Yes</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