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1B2A" w:val="clear"/>
        <w:spacing w:after="0" w:before="0"/>
        <w:jc w:val="center"/>
      </w:pPr>
      <w:r>
        <w:rPr>
          <w:rFonts w:ascii="Arial" w:cs="Arial" w:eastAsia="Arial" w:hAnsi="Arial"/>
          <w:b/>
          <w:bCs/>
          <w:color w:val="FFFFFF"/>
          <w:sz w:val="72"/>
          <w:szCs w:val="72"/>
        </w:rPr>
        <w:t xml:space="preserve">COMPANY BRAIN</w:t>
      </w:r>
    </w:p>
    <w:p>
      <w:pPr>
        <w:shd w:fill="0D1B2A" w:val="clear"/>
        <w:spacing w:after="0" w:before="0"/>
        <w:jc w:val="center"/>
      </w:pPr>
      <w:r>
        <w:rPr>
          <w:rFonts w:ascii="Arial" w:cs="Arial" w:eastAsia="Arial" w:hAnsi="Arial"/>
          <w:i/>
          <w:iCs/>
          <w:color w:val="DBEAFE"/>
          <w:sz w:val="26"/>
          <w:szCs w:val="26"/>
        </w:rPr>
        <w:t xml:space="preserve">The Institutional Memory Engine for Modern Organizations</w:t>
      </w:r>
    </w:p>
    <w:p>
      <w:pPr>
        <w:pBdr>
          <w:bottom w:val="single" w:color="2563EB" w:sz="6" w:space="4"/>
        </w:pBdr>
        <w:shd w:fill="0D1B2A" w:val="clear"/>
        <w:spacing w:after="140" w:before="60"/>
        <w:jc w:val="center"/>
      </w:pPr>
      <w:r>
        <w:rPr>
          <w:rFonts w:ascii="Arial" w:cs="Arial" w:eastAsia="Arial" w:hAnsi="Arial"/>
          <w:color w:val="94A3B8"/>
          <w:sz w:val="18"/>
          <w:szCs w:val="18"/>
        </w:rPr>
        <w:t xml:space="preserve">Project Execution Document  |  Prepared by Krishil Agrawal  |  OpenAI x Outskill AI Builders Hackathon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tcPr>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none" w:color="FFFFFF" w:sz="0"/>
                    <w:left w:val="none" w:color="FFFFFF" w:sz="0"/>
                    <w:bottom w:val="none" w:color="FFFFFF" w:sz="0"/>
                    <w:right w:val="none" w:color="FFFFFF" w:sz="0"/>
                  </w:tcBorders>
                  <w:shd w:fill="0D1B2A" w:val="clear"/>
                  <w:tcMar>
                    <w:top w:type="dxa" w:w="120"/>
                    <w:left w:type="dxa" w:w="120"/>
                    <w:bottom w:type="dxa" w:w="120"/>
                    <w:right w:type="dxa" w:w="120"/>
                  </w:tcMar>
                </w:tcPr>
                <w:p>
                  <w:pPr>
                    <w:spacing w:after="30" w:before="0"/>
                    <w:jc w:val="center"/>
                  </w:pPr>
                  <w:r>
                    <w:rPr>
                      <w:rFonts w:ascii="Arial" w:cs="Arial" w:eastAsia="Arial" w:hAnsi="Arial"/>
                      <w:b/>
                      <w:bCs/>
                      <w:color w:val="FFFFFF"/>
                      <w:sz w:val="40"/>
                      <w:szCs w:val="40"/>
                    </w:rPr>
                    <w:t xml:space="preserve">1.8 hrs</w:t>
                  </w:r>
                </w:p>
                <w:p>
                  <w:pPr>
                    <w:spacing w:after="0" w:before="0"/>
                    <w:jc w:val="center"/>
                  </w:pPr>
                  <w:r>
                    <w:rPr>
                      <w:rFonts w:ascii="Arial" w:cs="Arial" w:eastAsia="Arial" w:hAnsi="Arial"/>
                      <w:color w:val="DBEAFE"/>
                      <w:sz w:val="18"/>
                      <w:szCs w:val="18"/>
                    </w:rPr>
                    <w:t xml:space="preserve">lost per worker/day searching for info</w:t>
                  </w:r>
                </w:p>
              </w:tc>
              <w:tc>
                <w:tcPr>
                  <w:tcW w:type="dxa" w:w="2520"/>
                  <w:tcBorders>
                    <w:top w:val="none" w:color="FFFFFF" w:sz="0"/>
                    <w:left w:val="none" w:color="FFFFFF" w:sz="0"/>
                    <w:bottom w:val="none" w:color="FFFFFF" w:sz="0"/>
                    <w:right w:val="none" w:color="FFFFFF" w:sz="0"/>
                  </w:tcBorders>
                  <w:shd w:fill="1B4F8A" w:val="clear"/>
                  <w:tcMar>
                    <w:top w:type="dxa" w:w="120"/>
                    <w:left w:type="dxa" w:w="120"/>
                    <w:bottom w:type="dxa" w:w="120"/>
                    <w:right w:type="dxa" w:w="120"/>
                  </w:tcMar>
                </w:tcPr>
                <w:p>
                  <w:pPr>
                    <w:spacing w:after="30" w:before="0"/>
                    <w:jc w:val="center"/>
                  </w:pPr>
                  <w:r>
                    <w:rPr>
                      <w:rFonts w:ascii="Arial" w:cs="Arial" w:eastAsia="Arial" w:hAnsi="Arial"/>
                      <w:b/>
                      <w:bCs/>
                      <w:color w:val="FFFFFF"/>
                      <w:sz w:val="40"/>
                      <w:szCs w:val="40"/>
                    </w:rPr>
                    <w:t xml:space="preserve">$18M+</w:t>
                  </w:r>
                </w:p>
                <w:p>
                  <w:pPr>
                    <w:spacing w:after="0" w:before="0"/>
                    <w:jc w:val="center"/>
                  </w:pPr>
                  <w:r>
                    <w:rPr>
                      <w:rFonts w:ascii="Arial" w:cs="Arial" w:eastAsia="Arial" w:hAnsi="Arial"/>
                      <w:color w:val="DBEAFE"/>
                      <w:sz w:val="18"/>
                      <w:szCs w:val="18"/>
                    </w:rPr>
                    <w:t xml:space="preserve">annual productivity loss (500-person org)</w:t>
                  </w:r>
                </w:p>
              </w:tc>
              <w:tc>
                <w:tcPr>
                  <w:tcW w:type="dxa" w:w="2520"/>
                  <w:tcBorders>
                    <w:top w:val="none" w:color="FFFFFF" w:sz="0"/>
                    <w:left w:val="none" w:color="FFFFFF" w:sz="0"/>
                    <w:bottom w:val="none" w:color="FFFFFF" w:sz="0"/>
                    <w:right w:val="none" w:color="FFFFFF" w:sz="0"/>
                  </w:tcBorders>
                  <w:shd w:fill="1B4F8A" w:val="clear"/>
                  <w:tcMar>
                    <w:top w:type="dxa" w:w="120"/>
                    <w:left w:type="dxa" w:w="120"/>
                    <w:bottom w:type="dxa" w:w="120"/>
                    <w:right w:type="dxa" w:w="120"/>
                  </w:tcMar>
                </w:tcPr>
                <w:p>
                  <w:pPr>
                    <w:spacing w:after="30" w:before="0"/>
                    <w:jc w:val="center"/>
                  </w:pPr>
                  <w:r>
                    <w:rPr>
                      <w:rFonts w:ascii="Arial" w:cs="Arial" w:eastAsia="Arial" w:hAnsi="Arial"/>
                      <w:b/>
                      <w:bCs/>
                      <w:color w:val="FFFFFF"/>
                      <w:sz w:val="40"/>
                      <w:szCs w:val="40"/>
                    </w:rPr>
                    <w:t xml:space="preserve">85%</w:t>
                  </w:r>
                </w:p>
                <w:p>
                  <w:pPr>
                    <w:spacing w:after="0" w:before="0"/>
                    <w:jc w:val="center"/>
                  </w:pPr>
                  <w:r>
                    <w:rPr>
                      <w:rFonts w:ascii="Arial" w:cs="Arial" w:eastAsia="Arial" w:hAnsi="Arial"/>
                      <w:color w:val="DBEAFE"/>
                      <w:sz w:val="18"/>
                      <w:szCs w:val="18"/>
                    </w:rPr>
                    <w:t xml:space="preserve">of role knowledge lost when employee departs</w:t>
                  </w:r>
                </w:p>
              </w:tc>
              <w:tc>
                <w:tcPr>
                  <w:tcW w:type="dxa" w:w="2520"/>
                  <w:tcBorders>
                    <w:top w:val="none" w:color="FFFFFF" w:sz="0"/>
                    <w:left w:val="none" w:color="FFFFFF" w:sz="0"/>
                    <w:bottom w:val="none" w:color="FFFFFF" w:sz="0"/>
                    <w:right w:val="none" w:color="FFFFFF" w:sz="0"/>
                  </w:tcBorders>
                  <w:shd w:fill="0D1B2A" w:val="clear"/>
                  <w:tcMar>
                    <w:top w:type="dxa" w:w="120"/>
                    <w:left w:type="dxa" w:w="120"/>
                    <w:bottom w:type="dxa" w:w="120"/>
                    <w:right w:type="dxa" w:w="120"/>
                  </w:tcMar>
                </w:tcPr>
                <w:p>
                  <w:pPr>
                    <w:spacing w:after="30" w:before="0"/>
                    <w:jc w:val="center"/>
                  </w:pPr>
                  <w:r>
                    <w:rPr>
                      <w:rFonts w:ascii="Arial" w:cs="Arial" w:eastAsia="Arial" w:hAnsi="Arial"/>
                      <w:b/>
                      <w:bCs/>
                      <w:color w:val="FFFFFF"/>
                      <w:sz w:val="40"/>
                      <w:szCs w:val="40"/>
                    </w:rPr>
                    <w:t xml:space="preserve">254</w:t>
                  </w:r>
                </w:p>
                <w:p>
                  <w:pPr>
                    <w:spacing w:after="0" w:before="0"/>
                    <w:jc w:val="center"/>
                  </w:pPr>
                  <w:r>
                    <w:rPr>
                      <w:rFonts w:ascii="Arial" w:cs="Arial" w:eastAsia="Arial" w:hAnsi="Arial"/>
                      <w:color w:val="DBEAFE"/>
                      <w:sz w:val="18"/>
                      <w:szCs w:val="18"/>
                    </w:rPr>
                    <w:t xml:space="preserve">SaaS apps avg. enterprise runs — all siloed</w:t>
                  </w:r>
                </w:p>
              </w:tc>
            </w:tr>
          </w:tbl>
          <w:p/>
        </w:tc>
      </w:tr>
    </w:tbl>
    <w:p>
      <w:pPr>
        <w:spacing w:after="70" w:before="0"/>
      </w:pPr>
      <w:r>
        <w:rPr>
          <w:sz w:val="4"/>
          <w:szCs w:val="4"/>
        </w:rPr>
        <w:t xml:space="preserve"/>
      </w:r>
    </w:p>
    <w:p>
      <w:pPr>
        <w:pStyle w:val="Heading1"/>
        <w:pBdr>
          <w:bottom w:val="single" w:color="2563EB" w:sz="12" w:space="5"/>
        </w:pBdr>
        <w:spacing w:after="160" w:before="400"/>
      </w:pPr>
      <w:r>
        <w:rPr>
          <w:rFonts w:ascii="Arial" w:cs="Arial" w:eastAsia="Arial" w:hAnsi="Arial"/>
          <w:b/>
          <w:bCs/>
          <w:color w:val="0D1B2A"/>
          <w:sz w:val="34"/>
          <w:szCs w:val="34"/>
        </w:rPr>
        <w:t xml:space="preserve">1. Clear Problem Statement &amp; Target User</w:t>
      </w:r>
    </w:p>
    <w:p>
      <w:pPr>
        <w:shd w:fill="0D1B2A" w:val="clear"/>
        <w:spacing w:after="100" w:before="100"/>
        <w:jc w:val="center"/>
      </w:pPr>
      <w:r>
        <w:rPr>
          <w:rFonts w:ascii="Arial" w:cs="Arial" w:eastAsia="Arial" w:hAnsi="Arial"/>
          <w:b/>
          <w:bCs/>
          <w:i/>
          <w:iCs/>
          <w:color w:val="FFFFFF"/>
          <w:sz w:val="27"/>
          <w:szCs w:val="27"/>
        </w:rPr>
        <w:t xml:space="preserve">Modern organizations don't have a data problem.  They have a MEMORY problem.</w:t>
      </w:r>
    </w:p>
    <w:p>
      <w:pPr>
        <w:spacing w:after="70" w:before="0"/>
      </w:pPr>
      <w:r>
        <w:rPr>
          <w:sz w:val="4"/>
          <w:szCs w:val="4"/>
        </w:rPr>
        <w:t xml:space="preserve"/>
      </w:r>
    </w:p>
    <w:p>
      <w:pPr>
        <w:pStyle w:val="Heading2"/>
        <w:spacing w:after="100" w:before="260"/>
      </w:pPr>
      <w:r>
        <w:rPr>
          <w:rFonts w:ascii="Arial" w:cs="Arial" w:eastAsia="Arial" w:hAnsi="Arial"/>
          <w:b/>
          <w:bCs/>
          <w:color w:val="1B4F8A"/>
          <w:sz w:val="25"/>
          <w:szCs w:val="25"/>
        </w:rPr>
        <w:t xml:space="preserve">1.1  The Problem — In Plain Terms</w:t>
      </w:r>
    </w:p>
    <w:p>
      <w:pPr>
        <w:spacing w:after="100" w:before="0" w:line="300"/>
        <w:jc w:val="both"/>
      </w:pPr>
      <w:r>
        <w:rPr>
          <w:rFonts w:ascii="Arial" w:cs="Arial" w:eastAsia="Arial" w:hAnsi="Arial"/>
          <w:b w:val="false"/>
          <w:bCs w:val="false"/>
          <w:i w:val="false"/>
          <w:iCs w:val="false"/>
          <w:color w:val="1E293B"/>
          <w:sz w:val="22"/>
          <w:szCs w:val="22"/>
        </w:rPr>
        <w:t xml:space="preserve">Every growing company hits an invisible wall. Tools multiply — Slack, Notion, GitHub, Gmail, Google Drive, Linear. Teams expand. Decisions are made. Context accumulates. And then, silently, it </w:t>
      </w:r>
      <w:r>
        <w:rPr>
          <w:rFonts w:ascii="Arial" w:cs="Arial" w:eastAsia="Arial" w:hAnsi="Arial"/>
          <w:b/>
          <w:bCs/>
          <w:i w:val="false"/>
          <w:iCs w:val="false"/>
          <w:color w:val="1E293B"/>
          <w:sz w:val="22"/>
          <w:szCs w:val="22"/>
        </w:rPr>
        <w:t xml:space="preserve">disappears.</w:t>
      </w:r>
      <w:r>
        <w:rPr>
          <w:rFonts w:ascii="Arial" w:cs="Arial" w:eastAsia="Arial" w:hAnsi="Arial"/>
          <w:b w:val="false"/>
          <w:bCs w:val="false"/>
          <w:i w:val="false"/>
          <w:iCs w:val="false"/>
          <w:color w:val="1E293B"/>
          <w:sz w:val="22"/>
          <w:szCs w:val="22"/>
        </w:rPr>
        <w:t xml:space="preserve"> Employees leave. Threads get buried. Decisions get re-litigated. New hires spend months learning what already exists. Teams unknowingly rebuild solutions to problems that were solved two years ago.</w:t>
      </w:r>
    </w:p>
    <w:p>
      <w:pPr>
        <w:spacing w:after="100" w:before="0" w:line="300"/>
        <w:jc w:val="both"/>
      </w:pPr>
      <w:r>
        <w:rPr>
          <w:rFonts w:ascii="Arial" w:cs="Arial" w:eastAsia="Arial" w:hAnsi="Arial"/>
          <w:b w:val="false"/>
          <w:bCs w:val="false"/>
          <w:i w:val="false"/>
          <w:iCs w:val="false"/>
          <w:color w:val="1E293B"/>
          <w:sz w:val="22"/>
          <w:szCs w:val="22"/>
        </w:rPr>
        <w:t xml:space="preserve">The tragedy is not that organizations </w:t>
      </w:r>
      <w:r>
        <w:rPr>
          <w:rFonts w:ascii="Arial" w:cs="Arial" w:eastAsia="Arial" w:hAnsi="Arial"/>
          <w:b/>
          <w:bCs/>
          <w:i/>
          <w:iCs/>
          <w:color w:val="1E293B"/>
          <w:sz w:val="22"/>
          <w:szCs w:val="22"/>
        </w:rPr>
        <w:t xml:space="preserve">lack</w:t>
      </w:r>
      <w:r>
        <w:rPr>
          <w:rFonts w:ascii="Arial" w:cs="Arial" w:eastAsia="Arial" w:hAnsi="Arial"/>
          <w:b w:val="false"/>
          <w:bCs w:val="false"/>
          <w:i w:val="false"/>
          <w:iCs w:val="false"/>
          <w:color w:val="1E293B"/>
          <w:sz w:val="22"/>
          <w:szCs w:val="22"/>
        </w:rPr>
        <w:t xml:space="preserve"> knowledge. It is that they cannot </w:t>
      </w:r>
      <w:r>
        <w:rPr>
          <w:rFonts w:ascii="Arial" w:cs="Arial" w:eastAsia="Arial" w:hAnsi="Arial"/>
          <w:b/>
          <w:bCs/>
          <w:i/>
          <w:iCs/>
          <w:color w:val="1E293B"/>
          <w:sz w:val="22"/>
          <w:szCs w:val="22"/>
        </w:rPr>
        <w:t xml:space="preserve">find</w:t>
      </w:r>
      <w:r>
        <w:rPr>
          <w:rFonts w:ascii="Arial" w:cs="Arial" w:eastAsia="Arial" w:hAnsi="Arial"/>
          <w:b w:val="false"/>
          <w:bCs w:val="false"/>
          <w:i w:val="false"/>
          <w:iCs w:val="false"/>
          <w:color w:val="1E293B"/>
          <w:sz w:val="22"/>
          <w:szCs w:val="22"/>
        </w:rPr>
        <w:t xml:space="preserve">, </w:t>
      </w:r>
      <w:r>
        <w:rPr>
          <w:rFonts w:ascii="Arial" w:cs="Arial" w:eastAsia="Arial" w:hAnsi="Arial"/>
          <w:b/>
          <w:bCs/>
          <w:i/>
          <w:iCs/>
          <w:color w:val="1E293B"/>
          <w:sz w:val="22"/>
          <w:szCs w:val="22"/>
        </w:rPr>
        <w:t xml:space="preserve">trust</w:t>
      </w:r>
      <w:r>
        <w:rPr>
          <w:rFonts w:ascii="Arial" w:cs="Arial" w:eastAsia="Arial" w:hAnsi="Arial"/>
          <w:b w:val="false"/>
          <w:bCs w:val="false"/>
          <w:i w:val="false"/>
          <w:iCs w:val="false"/>
          <w:color w:val="1E293B"/>
          <w:sz w:val="22"/>
          <w:szCs w:val="22"/>
        </w:rPr>
        <w:t xml:space="preserve">, or </w:t>
      </w:r>
      <w:r>
        <w:rPr>
          <w:rFonts w:ascii="Arial" w:cs="Arial" w:eastAsia="Arial" w:hAnsi="Arial"/>
          <w:b/>
          <w:bCs/>
          <w:i/>
          <w:iCs/>
          <w:color w:val="1E293B"/>
          <w:sz w:val="22"/>
          <w:szCs w:val="22"/>
        </w:rPr>
        <w:t xml:space="preserve">reconstruct</w:t>
      </w:r>
      <w:r>
        <w:rPr>
          <w:rFonts w:ascii="Arial" w:cs="Arial" w:eastAsia="Arial" w:hAnsi="Arial"/>
          <w:b w:val="false"/>
          <w:bCs w:val="false"/>
          <w:i w:val="false"/>
          <w:iCs w:val="false"/>
          <w:color w:val="1E293B"/>
          <w:sz w:val="22"/>
          <w:szCs w:val="22"/>
        </w:rPr>
        <w:t xml:space="preserve"> what they already know. Critical organizational intelligence sits fragmented across a dozen platforms — semantically disconnected, temporally unaware, permission-ignored — and the cost is staggering.</w:t>
      </w:r>
    </w:p>
    <w:p>
      <w:pPr>
        <w:pStyle w:val="Heading3"/>
        <w:spacing w:after="70" w:before="180"/>
      </w:pPr>
      <w:r>
        <w:rPr>
          <w:rFonts w:ascii="Arial" w:cs="Arial" w:eastAsia="Arial" w:hAnsi="Arial"/>
          <w:b/>
          <w:bCs/>
          <w:color w:val="0F766E"/>
          <w:sz w:val="22"/>
          <w:szCs w:val="22"/>
        </w:rPr>
        <w:t xml:space="preserve">The Six Pain Points No Current Tool Solves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4860"/>
        <w:gridCol w:w="2700"/>
      </w:tblGrid>
      <w:tr>
        <w:tc>
          <w:tcPr>
            <w:tcW w:type="dxa" w:w="252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Pain Point</w:t>
            </w:r>
          </w:p>
        </w:tc>
        <w:tc>
          <w:tcPr>
            <w:tcW w:type="dxa" w:w="486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What Actually Happens</w:t>
            </w:r>
          </w:p>
        </w:tc>
        <w:tc>
          <w:tcPr>
            <w:tcW w:type="dxa" w:w="27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Business Cost</w:t>
            </w:r>
          </w:p>
        </w:tc>
      </w:tr>
      <w:tr>
        <w:tc>
          <w:tcPr>
            <w:tcW w:type="dxa" w:w="25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pPr>
              <w:jc w:val="left"/>
            </w:pPr>
            <w:r>
              <w:rPr>
                <w:rFonts w:ascii="Arial" w:cs="Arial" w:eastAsia="Arial" w:hAnsi="Arial"/>
                <w:b/>
                <w:bCs/>
                <w:color w:val="1B4F8A"/>
                <w:sz w:val="20"/>
                <w:szCs w:val="20"/>
              </w:rPr>
              <w:t xml:space="preserve">Fragmented Knowledge</w:t>
            </w:r>
          </w:p>
        </w:tc>
        <w:tc>
          <w:tcPr>
            <w:tcW w:type="dxa" w:w="48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A single decision lives in 5+ tools simultaneously — Slack thread, GitHub PR, Notion page, Linear ticket, Google Doc — with no system connecting them.</w:t>
            </w:r>
          </w:p>
        </w:tc>
        <w:tc>
          <w:tcPr>
            <w:tcW w:type="dxa" w:w="2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Hours wasted. Decisions re-made. History ignored.</w:t>
            </w:r>
          </w:p>
        </w:tc>
      </w:tr>
      <w:tr>
        <w:tc>
          <w:tcPr>
            <w:tcW w:type="dxa" w:w="25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pPr>
              <w:jc w:val="left"/>
            </w:pPr>
            <w:r>
              <w:rPr>
                <w:rFonts w:ascii="Arial" w:cs="Arial" w:eastAsia="Arial" w:hAnsi="Arial"/>
                <w:b/>
                <w:bCs/>
                <w:color w:val="1B4F8A"/>
                <w:sz w:val="20"/>
                <w:szCs w:val="20"/>
              </w:rPr>
              <w:t xml:space="preserve">Turnover Knowledge Loss</w:t>
            </w:r>
          </w:p>
        </w:tc>
        <w:tc>
          <w:tcPr>
            <w:tcW w:type="dxa" w:w="48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When a tenured employee leaves, they take the reasoning with them — not just the documents. Why PostgreSQL over MongoDB. Why that pricing tier. Why the mobile app was cut.</w:t>
            </w:r>
          </w:p>
        </w:tc>
        <w:tc>
          <w:tcPr>
            <w:tcW w:type="dxa" w:w="2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30–85% of role knowledge gone permanently (Deloitte).</w:t>
            </w:r>
          </w:p>
        </w:tc>
      </w:tr>
      <w:tr>
        <w:tc>
          <w:tcPr>
            <w:tcW w:type="dxa" w:w="25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pPr>
              <w:jc w:val="left"/>
            </w:pPr>
            <w:r>
              <w:rPr>
                <w:rFonts w:ascii="Arial" w:cs="Arial" w:eastAsia="Arial" w:hAnsi="Arial"/>
                <w:b/>
                <w:bCs/>
                <w:color w:val="1B4F8A"/>
                <w:sz w:val="20"/>
                <w:szCs w:val="20"/>
              </w:rPr>
              <w:t xml:space="preserve">Search Inefficiency</w:t>
            </w:r>
          </w:p>
        </w:tc>
        <w:tc>
          <w:tcPr>
            <w:tcW w:type="dxa" w:w="48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Enterprise search returns links, not intelligence. Users open 8 documents, read 3, synthesize manually, and still aren't sure they found everything.</w:t>
            </w:r>
          </w:p>
        </w:tc>
        <w:tc>
          <w:tcPr>
            <w:tcW w:type="dxa" w:w="2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1.8 hrs/day per knowledge worker (McKinsey).</w:t>
            </w:r>
          </w:p>
        </w:tc>
      </w:tr>
      <w:tr>
        <w:tc>
          <w:tcPr>
            <w:tcW w:type="dxa" w:w="25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pPr>
              <w:jc w:val="left"/>
            </w:pPr>
            <w:r>
              <w:rPr>
                <w:rFonts w:ascii="Arial" w:cs="Arial" w:eastAsia="Arial" w:hAnsi="Arial"/>
                <w:b/>
                <w:bCs/>
                <w:color w:val="1B4F8A"/>
                <w:sz w:val="20"/>
                <w:szCs w:val="20"/>
              </w:rPr>
              <w:t xml:space="preserve">Slow Onboarding</w:t>
            </w:r>
          </w:p>
        </w:tc>
        <w:tc>
          <w:tcPr>
            <w:tcW w:type="dxa" w:w="48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New hires shadow colleagues for months, attend redundant meetings, and read wikis of uncertain freshness — accumulating context through painful osmosis.</w:t>
            </w:r>
          </w:p>
        </w:tc>
        <w:tc>
          <w:tcPr>
            <w:tcW w:type="dxa" w:w="2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3–12 months to full productivity. Direct cost: $50K–$200K per hire.</w:t>
            </w:r>
          </w:p>
        </w:tc>
      </w:tr>
      <w:tr>
        <w:tc>
          <w:tcPr>
            <w:tcW w:type="dxa" w:w="25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pPr>
              <w:jc w:val="left"/>
            </w:pPr>
            <w:r>
              <w:rPr>
                <w:rFonts w:ascii="Arial" w:cs="Arial" w:eastAsia="Arial" w:hAnsi="Arial"/>
                <w:b/>
                <w:bCs/>
                <w:color w:val="1B4F8A"/>
                <w:sz w:val="20"/>
                <w:szCs w:val="20"/>
              </w:rPr>
              <w:t xml:space="preserve">Decision Opacity</w:t>
            </w:r>
          </w:p>
        </w:tc>
        <w:tc>
          <w:tcPr>
            <w:tcW w:type="dxa" w:w="48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When a board or regulator asks why a strategic choice was made, organizations frequently cannot produce a coherent, traceable answer. The decision was made. The reasoning was never preserved.</w:t>
            </w:r>
          </w:p>
        </w:tc>
        <w:tc>
          <w:tcPr>
            <w:tcW w:type="dxa" w:w="2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Legal risk. Investor credibility risk. Operational paralysis.</w:t>
            </w:r>
          </w:p>
        </w:tc>
      </w:tr>
      <w:tr>
        <w:tc>
          <w:tcPr>
            <w:tcW w:type="dxa" w:w="25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pPr>
              <w:jc w:val="left"/>
            </w:pPr>
            <w:r>
              <w:rPr>
                <w:rFonts w:ascii="Arial" w:cs="Arial" w:eastAsia="Arial" w:hAnsi="Arial"/>
                <w:b/>
                <w:bCs/>
                <w:color w:val="1B4F8A"/>
                <w:sz w:val="20"/>
                <w:szCs w:val="20"/>
              </w:rPr>
              <w:t xml:space="preserve">Knowledge Decay</w:t>
            </w:r>
          </w:p>
        </w:tc>
        <w:tc>
          <w:tcPr>
            <w:tcW w:type="dxa" w:w="48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A pricing doc from 18 months ago, a deprecated API contract, a superseded architecture decision — all retrieved with the same confidence as today's information. No system warns you.</w:t>
            </w:r>
          </w:p>
        </w:tc>
        <w:tc>
          <w:tcPr>
            <w:tcW w:type="dxa" w:w="2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Decisions built on stale intelligence. Rework. Product failures.</w:t>
            </w:r>
          </w:p>
        </w:tc>
      </w:tr>
    </w:tbl>
    <w:p>
      <w:pPr>
        <w:spacing w:after="70" w:before="0"/>
      </w:pPr>
      <w:r>
        <w:rPr>
          <w:sz w:val="4"/>
          <w:szCs w:val="4"/>
        </w:rPr>
        <w:t xml:space="preserve"/>
      </w:r>
    </w:p>
    <w:p>
      <w:pPr>
        <w:spacing w:after="110" w:before="0" w:line="300"/>
        <w:jc w:val="both"/>
      </w:pPr>
      <w:r>
        <w:rPr>
          <w:rFonts w:ascii="Arial" w:cs="Arial" w:eastAsia="Arial" w:hAnsi="Arial"/>
          <w:b w:val="false"/>
          <w:bCs w:val="false"/>
          <w:i w:val="false"/>
          <w:iCs w:val="false"/>
          <w:color w:val="1E293B"/>
          <w:sz w:val="22"/>
          <w:szCs w:val="22"/>
        </w:rPr>
        <w:t xml:space="preserve">A real example: A Series B fintech company's new VP of Engineering asks why the team chose microservices over a monolith. The answer is split across a Slack thread, a GitHub PR comment, a Notion spec, and a Google Doc retrospective. Reconstructing it takes </w:t>
      </w:r>
      <w:r>
        <w:rPr>
          <w:rFonts w:ascii="Arial" w:cs="Arial" w:eastAsia="Arial" w:hAnsi="Arial"/>
          <w:b/>
          <w:bCs/>
          <w:i w:val="false"/>
          <w:iCs w:val="false"/>
          <w:color w:val="1E293B"/>
          <w:sz w:val="22"/>
          <w:szCs w:val="22"/>
        </w:rPr>
        <w:t xml:space="preserve">four days</w:t>
      </w:r>
      <w:r>
        <w:rPr>
          <w:rFonts w:ascii="Arial" w:cs="Arial" w:eastAsia="Arial" w:hAnsi="Arial"/>
          <w:b w:val="false"/>
          <w:bCs w:val="false"/>
          <w:i w:val="false"/>
          <w:iCs w:val="false"/>
          <w:color w:val="1E293B"/>
          <w:sz w:val="22"/>
          <w:szCs w:val="22"/>
        </w:rPr>
        <w:t xml:space="preserve"> and five interviews. With Company Brain, it takes </w:t>
      </w:r>
      <w:r>
        <w:rPr>
          <w:rFonts w:ascii="Arial" w:cs="Arial" w:eastAsia="Arial" w:hAnsi="Arial"/>
          <w:b/>
          <w:bCs/>
          <w:i w:val="false"/>
          <w:iCs w:val="false"/>
          <w:color w:val="1E293B"/>
          <w:sz w:val="22"/>
          <w:szCs w:val="22"/>
        </w:rPr>
        <w:t xml:space="preserve">thirty seconds.</w:t>
      </w:r>
    </w:p>
    <w:p>
      <w:pPr>
        <w:spacing w:after="70" w:before="0"/>
      </w:pPr>
      <w:r>
        <w:rPr>
          <w:sz w:val="4"/>
          <w:szCs w:val="4"/>
        </w:rPr>
        <w:t xml:space="preserve"/>
      </w:r>
    </w:p>
    <w:p>
      <w:pPr>
        <w:pStyle w:val="Heading2"/>
        <w:spacing w:after="100" w:before="260"/>
      </w:pPr>
      <w:r>
        <w:rPr>
          <w:rFonts w:ascii="Arial" w:cs="Arial" w:eastAsia="Arial" w:hAnsi="Arial"/>
          <w:b/>
          <w:bCs/>
          <w:color w:val="1B4F8A"/>
          <w:sz w:val="25"/>
          <w:szCs w:val="25"/>
        </w:rPr>
        <w:t xml:space="preserve">1.2  Target Users — Who Bleeds This Problem Every 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880"/>
        <w:gridCol w:w="2400"/>
      </w:tblGrid>
      <w:tr>
        <w:tc>
          <w:tcPr>
            <w:tcW w:type="dxa" w:w="18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Persona</w:t>
            </w:r>
          </w:p>
        </w:tc>
        <w:tc>
          <w:tcPr>
            <w:tcW w:type="dxa" w:w="30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Their Daily Frustration</w:t>
            </w:r>
          </w:p>
        </w:tc>
        <w:tc>
          <w:tcPr>
            <w:tcW w:type="dxa" w:w="288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What They Need</w:t>
            </w:r>
          </w:p>
        </w:tc>
        <w:tc>
          <w:tcPr>
            <w:tcW w:type="dxa" w:w="24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What Success Looks Like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pPr>
              <w:jc w:val="left"/>
            </w:pPr>
            <w:r>
              <w:rPr>
                <w:rFonts w:ascii="Arial" w:cs="Arial" w:eastAsia="Arial" w:hAnsi="Arial"/>
                <w:b/>
                <w:bCs/>
                <w:color w:val="1B4F8A"/>
                <w:sz w:val="20"/>
                <w:szCs w:val="20"/>
              </w:rPr>
              <w:t xml:space="preserve">Engineering Leads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"Why did we build it this way?" — asks a new engineer. Nobody remembers. The Slack thread is buried. The PR has 300 comments.</w:t>
            </w:r>
          </w:p>
        </w:tc>
        <w:tc>
          <w:tcPr>
            <w:tcW w:type="dxa" w:w="28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Instant, cited retrieval of architectural reasoning from GitHub, Slack, and Notion with temporal confidence.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New VP briefs on 3 years of decisions in 20 minutes, zero interviews.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pPr>
              <w:jc w:val="left"/>
            </w:pPr>
            <w:r>
              <w:rPr>
                <w:rFonts w:ascii="Arial" w:cs="Arial" w:eastAsia="Arial" w:hAnsi="Arial"/>
                <w:b/>
                <w:bCs/>
                <w:color w:val="1B4F8A"/>
                <w:sz w:val="20"/>
                <w:szCs w:val="20"/>
              </w:rPr>
              <w:t xml:space="preserve">Product Managers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"We already tried that 2 years ago" — said after 3 weeks of re-discovery and a wasted sprint.</w:t>
            </w:r>
          </w:p>
        </w:tc>
        <w:tc>
          <w:tcPr>
            <w:tcW w:type="dxa" w:w="28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Cross-platform decision history retrieval with reasoning, alternatives considered, and stakeholder attribution.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PM reconstructs full deprioritization rationale in 90 seconds before a planning meeting.</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pPr>
              <w:jc w:val="left"/>
            </w:pPr>
            <w:r>
              <w:rPr>
                <w:rFonts w:ascii="Arial" w:cs="Arial" w:eastAsia="Arial" w:hAnsi="Arial"/>
                <w:b/>
                <w:bCs/>
                <w:color w:val="1B4F8A"/>
                <w:sz w:val="20"/>
                <w:szCs w:val="20"/>
              </w:rPr>
              <w:t xml:space="preserve">Executives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Board prep takes 2 weeks of manual aggregation across 6 department heads. M&amp;A due diligence is a nightmare.</w:t>
            </w:r>
          </w:p>
        </w:tc>
        <w:tc>
          <w:tcPr>
            <w:tcW w:type="dxa" w:w="28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Auditable, traceable decision history with citations — ready for boards, investors, and regulators.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CFO produces complete due diligence package in one day. Not two weeks.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pPr>
              <w:jc w:val="left"/>
            </w:pPr>
            <w:r>
              <w:rPr>
                <w:rFonts w:ascii="Arial" w:cs="Arial" w:eastAsia="Arial" w:hAnsi="Arial"/>
                <w:b/>
                <w:bCs/>
                <w:color w:val="1B4F8A"/>
                <w:sz w:val="20"/>
                <w:szCs w:val="20"/>
              </w:rPr>
              <w:t xml:space="preserve">New Employees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Months of shadows, redundant onboarding sessions, wikis of unknown freshness, constant dependency on busy colleagues.</w:t>
            </w:r>
          </w:p>
        </w:tc>
        <w:tc>
          <w:tcPr>
            <w:tcW w:type="dxa" w:w="28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On-demand institutional context — with freshness signals so they know if what they're reading is still true.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Full productivity in 2 weeks instead of 6 months.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pPr>
              <w:jc w:val="left"/>
            </w:pPr>
            <w:r>
              <w:rPr>
                <w:rFonts w:ascii="Arial" w:cs="Arial" w:eastAsia="Arial" w:hAnsi="Arial"/>
                <w:b/>
                <w:bCs/>
                <w:color w:val="1B4F8A"/>
                <w:sz w:val="20"/>
                <w:szCs w:val="20"/>
              </w:rPr>
              <w:t xml:space="preserve">Sales Teams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Account ownership transfers with zero context. The AE walks into a renewal call not knowing what was promised 8 months ago.</w:t>
            </w:r>
          </w:p>
        </w:tc>
        <w:tc>
          <w:tcPr>
            <w:tcW w:type="dxa" w:w="28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Permissioned access to full account interaction history across CRM, email, and Slack.</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AE inherits account with complete relationship picture — competitive context, promises made, blockers raised.</w:t>
            </w:r>
          </w:p>
        </w:tc>
      </w:tr>
    </w:tbl>
    <w:p>
      <w:r>
        <w:br w:type="page"/>
      </w:r>
    </w:p>
    <w:p>
      <w:pPr>
        <w:pStyle w:val="Heading1"/>
        <w:pBdr>
          <w:bottom w:val="single" w:color="2563EB" w:sz="12" w:space="5"/>
        </w:pBdr>
        <w:spacing w:after="160" w:before="400"/>
      </w:pPr>
      <w:r>
        <w:rPr>
          <w:rFonts w:ascii="Arial" w:cs="Arial" w:eastAsia="Arial" w:hAnsi="Arial"/>
          <w:b/>
          <w:bCs/>
          <w:color w:val="0D1B2A"/>
          <w:sz w:val="34"/>
          <w:szCs w:val="34"/>
        </w:rPr>
        <w:t xml:space="preserve">2. Basic Product Journey &amp; User Flow</w:t>
      </w:r>
    </w:p>
    <w:p>
      <w:pPr>
        <w:pBdr>
          <w:left w:val="single" w:color="2563EB" w:sz="24" w:space="10"/>
        </w:pBdr>
        <w:shd w:fill="DBEAFE" w:val="clear"/>
        <w:spacing w:after="120" w:before="120"/>
        <w:ind w:left="120"/>
        <w:jc w:val="both"/>
      </w:pPr>
      <w:r>
        <w:rPr>
          <w:rFonts w:ascii="Arial" w:cs="Arial" w:eastAsia="Arial" w:hAnsi="Arial"/>
          <w:b/>
          <w:bCs/>
          <w:i/>
          <w:iCs/>
          <w:color w:val="0D1B2A"/>
          <w:sz w:val="23"/>
          <w:szCs w:val="23"/>
        </w:rPr>
        <w:t xml:space="preserve">Company Brain turns a fragmented, multi-tool search nightmare into a single, intelligent, cited conversation with your organization's collective memory.</w:t>
      </w:r>
    </w:p>
    <w:p>
      <w:pPr>
        <w:spacing w:after="70" w:before="0"/>
      </w:pPr>
      <w:r>
        <w:rPr>
          <w:sz w:val="4"/>
          <w:szCs w:val="4"/>
        </w:rPr>
        <w:t xml:space="preserve"/>
      </w:r>
    </w:p>
    <w:p>
      <w:pPr>
        <w:pStyle w:val="Heading2"/>
        <w:spacing w:after="100" w:before="260"/>
      </w:pPr>
      <w:r>
        <w:rPr>
          <w:rFonts w:ascii="Arial" w:cs="Arial" w:eastAsia="Arial" w:hAnsi="Arial"/>
          <w:b/>
          <w:bCs/>
          <w:color w:val="1B4F8A"/>
          <w:sz w:val="25"/>
          <w:szCs w:val="25"/>
        </w:rPr>
        <w:t xml:space="preserve">2.1  End-to-End System Flow</w:t>
      </w:r>
    </w:p>
    <w:p>
      <w:pPr>
        <w:spacing w:after="70" w:before="0"/>
      </w:pPr>
      <w:r>
        <w:rPr>
          <w:sz w:val="4"/>
          <w:szCs w:val="4"/>
        </w:rPr>
        <w:t xml:space="preserve"/>
      </w:r>
    </w:p>
    <w:p>
      <w:pPr>
        <w:spacing w:after="20" w:before="0"/>
        <w:jc w:val="center"/>
      </w:pPr>
      <w:r>
        <w:rPr>
          <w:rFonts w:ascii="Arial" w:cs="Arial" w:eastAsia="Arial" w:hAnsi="Arial"/>
          <w:b/>
          <w:bCs/>
          <w:color w:val="475569"/>
          <w:sz w:val="19"/>
          <w:szCs w:val="19"/>
        </w:rPr>
        <w:t xml:space="preserve">INGESTION LAYER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300"/>
        <w:gridCol w:w="1680"/>
        <w:gridCol w:w="300"/>
        <w:gridCol w:w="1680"/>
        <w:gridCol w:w="300"/>
        <w:gridCol w:w="1680"/>
        <w:gridCol w:w="300"/>
        <w:gridCol w:w="1680"/>
      </w:tblGrid>
      <w:tr>
        <w:tc>
          <w:tcPr>
            <w:tcW w:type="dxa" w:w="1680"/>
            <w:tcBorders>
              <w:top w:val="single" w:color="CBD5E1" w:sz="1"/>
              <w:left w:val="single" w:color="CBD5E1" w:sz="1"/>
              <w:bottom w:val="single" w:color="CBD5E1" w:sz="1"/>
              <w:right w:val="single" w:color="CBD5E1" w:sz="1"/>
            </w:tcBorders>
            <w:shd w:fill="0D1B2A" w:val="clear"/>
            <w:tcMar>
              <w:top w:type="dxa" w:w="80"/>
              <w:left w:type="dxa" w:w="100"/>
              <w:bottom w:type="dxa" w:w="80"/>
              <w:right w:type="dxa" w:w="100"/>
            </w:tcMar>
          </w:tcPr>
          <w:p>
            <w:pPr>
              <w:spacing w:after="20" w:before="0"/>
              <w:jc w:val="center"/>
            </w:pPr>
            <w:r>
              <w:rPr>
                <w:rFonts w:ascii="Arial" w:cs="Arial" w:eastAsia="Arial" w:hAnsi="Arial"/>
                <w:b/>
                <w:bCs/>
                <w:color w:val="FFFFFF"/>
                <w:sz w:val="28"/>
                <w:szCs w:val="28"/>
              </w:rPr>
              <w:t xml:space="preserve">1</w:t>
            </w:r>
          </w:p>
          <w:p>
            <w:pPr>
              <w:spacing w:after="0" w:before="0"/>
              <w:jc w:val="center"/>
            </w:pPr>
            <w:r>
              <w:rPr>
                <w:rFonts w:ascii="Arial" w:cs="Arial" w:eastAsia="Arial" w:hAnsi="Arial"/>
                <w:b/>
                <w:bCs/>
                <w:color w:val="FFFFFF"/>
                <w:sz w:val="16"/>
                <w:szCs w:val="16"/>
              </w:rPr>
              <w:t xml:space="preserve">User Auth &amp; Tool Connect</w:t>
            </w:r>
          </w:p>
        </w:tc>
        <w:tc>
          <w:tcPr>
            <w:tcW w:type="dxa" w:w="300"/>
            <w:tcBorders>
              <w:top w:val="none" w:color="FFFFFF" w:sz="0"/>
              <w:left w:val="none" w:color="FFFFFF" w:sz="0"/>
              <w:bottom w:val="none" w:color="FFFFFF" w:sz="0"/>
              <w:right w:val="none" w:color="FFFFFF" w:sz="0"/>
            </w:tcBorders>
            <w:tcMar>
              <w:top w:type="dxa" w:w="80"/>
              <w:left w:type="dxa" w:w="0"/>
              <w:bottom w:type="dxa" w:w="80"/>
              <w:right w:type="dxa" w:w="0"/>
            </w:tcMar>
          </w:tcPr>
          <w:p>
            <w:pPr>
              <w:jc w:val="center"/>
            </w:pPr>
            <w:r>
              <w:rPr>
                <w:rFonts w:ascii="Arial" w:cs="Arial" w:eastAsia="Arial" w:hAnsi="Arial"/>
                <w:b/>
                <w:bCs/>
                <w:color w:val="2563EB"/>
                <w:sz w:val="20"/>
                <w:szCs w:val="20"/>
              </w:rPr>
              <w:t xml:space="preserve">&gt;&gt;</w:t>
            </w:r>
          </w:p>
        </w:tc>
        <w:tc>
          <w:tcPr>
            <w:tcW w:type="dxa" w:w="1680"/>
            <w:tcBorders>
              <w:top w:val="single" w:color="CBD5E1" w:sz="1"/>
              <w:left w:val="single" w:color="CBD5E1" w:sz="1"/>
              <w:bottom w:val="single" w:color="CBD5E1" w:sz="1"/>
              <w:right w:val="single" w:color="CBD5E1" w:sz="1"/>
            </w:tcBorders>
            <w:shd w:fill="1B4F8A" w:val="clear"/>
            <w:tcMar>
              <w:top w:type="dxa" w:w="80"/>
              <w:left w:type="dxa" w:w="100"/>
              <w:bottom w:type="dxa" w:w="80"/>
              <w:right w:type="dxa" w:w="100"/>
            </w:tcMar>
          </w:tcPr>
          <w:p>
            <w:pPr>
              <w:spacing w:after="20" w:before="0"/>
              <w:jc w:val="center"/>
            </w:pPr>
            <w:r>
              <w:rPr>
                <w:rFonts w:ascii="Arial" w:cs="Arial" w:eastAsia="Arial" w:hAnsi="Arial"/>
                <w:b/>
                <w:bCs/>
                <w:color w:val="FFFFFF"/>
                <w:sz w:val="28"/>
                <w:szCs w:val="28"/>
              </w:rPr>
              <w:t xml:space="preserve">2</w:t>
            </w:r>
          </w:p>
          <w:p>
            <w:pPr>
              <w:spacing w:after="0" w:before="0"/>
              <w:jc w:val="center"/>
            </w:pPr>
            <w:r>
              <w:rPr>
                <w:rFonts w:ascii="Arial" w:cs="Arial" w:eastAsia="Arial" w:hAnsi="Arial"/>
                <w:b/>
                <w:bCs/>
                <w:color w:val="FFFFFF"/>
                <w:sz w:val="16"/>
                <w:szCs w:val="16"/>
              </w:rPr>
              <w:t xml:space="preserve">Data Ingestion (API Pull)</w:t>
            </w:r>
          </w:p>
        </w:tc>
        <w:tc>
          <w:tcPr>
            <w:tcW w:type="dxa" w:w="300"/>
            <w:tcBorders>
              <w:top w:val="none" w:color="FFFFFF" w:sz="0"/>
              <w:left w:val="none" w:color="FFFFFF" w:sz="0"/>
              <w:bottom w:val="none" w:color="FFFFFF" w:sz="0"/>
              <w:right w:val="none" w:color="FFFFFF" w:sz="0"/>
            </w:tcBorders>
            <w:tcMar>
              <w:top w:type="dxa" w:w="80"/>
              <w:left w:type="dxa" w:w="0"/>
              <w:bottom w:type="dxa" w:w="80"/>
              <w:right w:type="dxa" w:w="0"/>
            </w:tcMar>
          </w:tcPr>
          <w:p>
            <w:pPr>
              <w:jc w:val="center"/>
            </w:pPr>
            <w:r>
              <w:rPr>
                <w:rFonts w:ascii="Arial" w:cs="Arial" w:eastAsia="Arial" w:hAnsi="Arial"/>
                <w:b/>
                <w:bCs/>
                <w:color w:val="2563EB"/>
                <w:sz w:val="20"/>
                <w:szCs w:val="20"/>
              </w:rPr>
              <w:t xml:space="preserve">&gt;&gt;</w:t>
            </w:r>
          </w:p>
        </w:tc>
        <w:tc>
          <w:tcPr>
            <w:tcW w:type="dxa" w:w="1680"/>
            <w:tcBorders>
              <w:top w:val="single" w:color="CBD5E1" w:sz="1"/>
              <w:left w:val="single" w:color="CBD5E1" w:sz="1"/>
              <w:bottom w:val="single" w:color="CBD5E1" w:sz="1"/>
              <w:right w:val="single" w:color="CBD5E1" w:sz="1"/>
            </w:tcBorders>
            <w:shd w:fill="1B4F8A" w:val="clear"/>
            <w:tcMar>
              <w:top w:type="dxa" w:w="80"/>
              <w:left w:type="dxa" w:w="100"/>
              <w:bottom w:type="dxa" w:w="80"/>
              <w:right w:type="dxa" w:w="100"/>
            </w:tcMar>
          </w:tcPr>
          <w:p>
            <w:pPr>
              <w:spacing w:after="20" w:before="0"/>
              <w:jc w:val="center"/>
            </w:pPr>
            <w:r>
              <w:rPr>
                <w:rFonts w:ascii="Arial" w:cs="Arial" w:eastAsia="Arial" w:hAnsi="Arial"/>
                <w:b/>
                <w:bCs/>
                <w:color w:val="FFFFFF"/>
                <w:sz w:val="28"/>
                <w:szCs w:val="28"/>
              </w:rPr>
              <w:t xml:space="preserve">3</w:t>
            </w:r>
          </w:p>
          <w:p>
            <w:pPr>
              <w:spacing w:after="0" w:before="0"/>
              <w:jc w:val="center"/>
            </w:pPr>
            <w:r>
              <w:rPr>
                <w:rFonts w:ascii="Arial" w:cs="Arial" w:eastAsia="Arial" w:hAnsi="Arial"/>
                <w:b/>
                <w:bCs/>
                <w:color w:val="FFFFFF"/>
                <w:sz w:val="16"/>
                <w:szCs w:val="16"/>
              </w:rPr>
              <w:t xml:space="preserve">Normalize &amp; Chunk</w:t>
            </w:r>
          </w:p>
        </w:tc>
        <w:tc>
          <w:tcPr>
            <w:tcW w:type="dxa" w:w="300"/>
            <w:tcBorders>
              <w:top w:val="none" w:color="FFFFFF" w:sz="0"/>
              <w:left w:val="none" w:color="FFFFFF" w:sz="0"/>
              <w:bottom w:val="none" w:color="FFFFFF" w:sz="0"/>
              <w:right w:val="none" w:color="FFFFFF" w:sz="0"/>
            </w:tcBorders>
            <w:tcMar>
              <w:top w:type="dxa" w:w="80"/>
              <w:left w:type="dxa" w:w="0"/>
              <w:bottom w:type="dxa" w:w="80"/>
              <w:right w:type="dxa" w:w="0"/>
            </w:tcMar>
          </w:tcPr>
          <w:p>
            <w:pPr>
              <w:jc w:val="center"/>
            </w:pPr>
            <w:r>
              <w:rPr>
                <w:rFonts w:ascii="Arial" w:cs="Arial" w:eastAsia="Arial" w:hAnsi="Arial"/>
                <w:b/>
                <w:bCs/>
                <w:color w:val="2563EB"/>
                <w:sz w:val="20"/>
                <w:szCs w:val="20"/>
              </w:rPr>
              <w:t xml:space="preserve">&gt;&gt;</w:t>
            </w:r>
          </w:p>
        </w:tc>
        <w:tc>
          <w:tcPr>
            <w:tcW w:type="dxa" w:w="1680"/>
            <w:tcBorders>
              <w:top w:val="single" w:color="CBD5E1" w:sz="1"/>
              <w:left w:val="single" w:color="CBD5E1" w:sz="1"/>
              <w:bottom w:val="single" w:color="CBD5E1" w:sz="1"/>
              <w:right w:val="single" w:color="CBD5E1" w:sz="1"/>
            </w:tcBorders>
            <w:shd w:fill="0F766E" w:val="clear"/>
            <w:tcMar>
              <w:top w:type="dxa" w:w="80"/>
              <w:left w:type="dxa" w:w="100"/>
              <w:bottom w:type="dxa" w:w="80"/>
              <w:right w:type="dxa" w:w="100"/>
            </w:tcMar>
          </w:tcPr>
          <w:p>
            <w:pPr>
              <w:spacing w:after="20" w:before="0"/>
              <w:jc w:val="center"/>
            </w:pPr>
            <w:r>
              <w:rPr>
                <w:rFonts w:ascii="Arial" w:cs="Arial" w:eastAsia="Arial" w:hAnsi="Arial"/>
                <w:b/>
                <w:bCs/>
                <w:color w:val="FFFFFF"/>
                <w:sz w:val="28"/>
                <w:szCs w:val="28"/>
              </w:rPr>
              <w:t xml:space="preserve">4</w:t>
            </w:r>
          </w:p>
          <w:p>
            <w:pPr>
              <w:spacing w:after="0" w:before="0"/>
              <w:jc w:val="center"/>
            </w:pPr>
            <w:r>
              <w:rPr>
                <w:rFonts w:ascii="Arial" w:cs="Arial" w:eastAsia="Arial" w:hAnsi="Arial"/>
                <w:b/>
                <w:bCs/>
                <w:color w:val="FFFFFF"/>
                <w:sz w:val="16"/>
                <w:szCs w:val="16"/>
              </w:rPr>
              <w:t xml:space="preserve">Embed + Permission Tag</w:t>
            </w:r>
          </w:p>
        </w:tc>
        <w:tc>
          <w:tcPr>
            <w:tcW w:type="dxa" w:w="300"/>
            <w:tcBorders>
              <w:top w:val="none" w:color="FFFFFF" w:sz="0"/>
              <w:left w:val="none" w:color="FFFFFF" w:sz="0"/>
              <w:bottom w:val="none" w:color="FFFFFF" w:sz="0"/>
              <w:right w:val="none" w:color="FFFFFF" w:sz="0"/>
            </w:tcBorders>
            <w:tcMar>
              <w:top w:type="dxa" w:w="80"/>
              <w:left w:type="dxa" w:w="0"/>
              <w:bottom w:type="dxa" w:w="80"/>
              <w:right w:type="dxa" w:w="0"/>
            </w:tcMar>
          </w:tcPr>
          <w:p>
            <w:pPr>
              <w:jc w:val="center"/>
            </w:pPr>
            <w:r>
              <w:rPr>
                <w:rFonts w:ascii="Arial" w:cs="Arial" w:eastAsia="Arial" w:hAnsi="Arial"/>
                <w:b/>
                <w:bCs/>
                <w:color w:val="2563EB"/>
                <w:sz w:val="20"/>
                <w:szCs w:val="20"/>
              </w:rPr>
              <w:t xml:space="preserve">&gt;&gt;</w:t>
            </w:r>
          </w:p>
        </w:tc>
        <w:tc>
          <w:tcPr>
            <w:tcW w:type="dxa" w:w="1680"/>
            <w:tcBorders>
              <w:top w:val="single" w:color="CBD5E1" w:sz="1"/>
              <w:left w:val="single" w:color="CBD5E1" w:sz="1"/>
              <w:bottom w:val="single" w:color="CBD5E1" w:sz="1"/>
              <w:right w:val="single" w:color="CBD5E1" w:sz="1"/>
            </w:tcBorders>
            <w:shd w:fill="0F766E" w:val="clear"/>
            <w:tcMar>
              <w:top w:type="dxa" w:w="80"/>
              <w:left w:type="dxa" w:w="100"/>
              <w:bottom w:type="dxa" w:w="80"/>
              <w:right w:type="dxa" w:w="100"/>
            </w:tcMar>
          </w:tcPr>
          <w:p>
            <w:pPr>
              <w:spacing w:after="20" w:before="0"/>
              <w:jc w:val="center"/>
            </w:pPr>
            <w:r>
              <w:rPr>
                <w:rFonts w:ascii="Arial" w:cs="Arial" w:eastAsia="Arial" w:hAnsi="Arial"/>
                <w:b/>
                <w:bCs/>
                <w:color w:val="FFFFFF"/>
                <w:sz w:val="28"/>
                <w:szCs w:val="28"/>
              </w:rPr>
              <w:t xml:space="preserve">5</w:t>
            </w:r>
          </w:p>
          <w:p>
            <w:pPr>
              <w:spacing w:after="0" w:before="0"/>
              <w:jc w:val="center"/>
            </w:pPr>
            <w:r>
              <w:rPr>
                <w:rFonts w:ascii="Arial" w:cs="Arial" w:eastAsia="Arial" w:hAnsi="Arial"/>
                <w:b/>
                <w:bCs/>
                <w:color w:val="FFFFFF"/>
                <w:sz w:val="16"/>
                <w:szCs w:val="16"/>
              </w:rPr>
              <w:t xml:space="preserve">Index into Vector DB</w:t>
            </w:r>
          </w:p>
        </w:tc>
      </w:tr>
    </w:tbl>
    <w:p>
      <w:pPr>
        <w:spacing w:after="20" w:before="20"/>
        <w:jc w:val="center"/>
      </w:pPr>
      <w:r>
        <w:rPr>
          <w:rFonts w:ascii="Arial" w:cs="Arial" w:eastAsia="Arial" w:hAnsi="Arial"/>
          <w:b/>
          <w:bCs/>
          <w:color w:val="2563EB"/>
          <w:sz w:val="22"/>
          <w:szCs w:val="22"/>
        </w:rPr>
        <w:t xml:space="preserve">v</w:t>
      </w:r>
    </w:p>
    <w:p>
      <w:pPr>
        <w:spacing w:after="20" w:before="0"/>
        <w:jc w:val="center"/>
      </w:pPr>
      <w:r>
        <w:rPr>
          <w:rFonts w:ascii="Arial" w:cs="Arial" w:eastAsia="Arial" w:hAnsi="Arial"/>
          <w:b/>
          <w:bCs/>
          <w:color w:val="475569"/>
          <w:sz w:val="19"/>
          <w:szCs w:val="19"/>
        </w:rPr>
        <w:t xml:space="preserve">RETRIEVAL LAYER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300"/>
        <w:gridCol w:w="1680"/>
        <w:gridCol w:w="300"/>
        <w:gridCol w:w="1680"/>
        <w:gridCol w:w="300"/>
        <w:gridCol w:w="1680"/>
        <w:gridCol w:w="300"/>
        <w:gridCol w:w="1680"/>
      </w:tblGrid>
      <w:tr>
        <w:tc>
          <w:tcPr>
            <w:tcW w:type="dxa" w:w="1680"/>
            <w:tcBorders>
              <w:top w:val="single" w:color="CBD5E1" w:sz="1"/>
              <w:left w:val="single" w:color="CBD5E1" w:sz="1"/>
              <w:bottom w:val="single" w:color="CBD5E1" w:sz="1"/>
              <w:right w:val="single" w:color="CBD5E1" w:sz="1"/>
            </w:tcBorders>
            <w:shd w:fill="065F46" w:val="clear"/>
            <w:tcMar>
              <w:top w:type="dxa" w:w="80"/>
              <w:left w:type="dxa" w:w="100"/>
              <w:bottom w:type="dxa" w:w="80"/>
              <w:right w:type="dxa" w:w="100"/>
            </w:tcMar>
          </w:tcPr>
          <w:p>
            <w:pPr>
              <w:spacing w:after="20" w:before="0"/>
              <w:jc w:val="center"/>
            </w:pPr>
            <w:r>
              <w:rPr>
                <w:rFonts w:ascii="Arial" w:cs="Arial" w:eastAsia="Arial" w:hAnsi="Arial"/>
                <w:b/>
                <w:bCs/>
                <w:color w:val="FFFFFF"/>
                <w:sz w:val="28"/>
                <w:szCs w:val="28"/>
              </w:rPr>
              <w:t xml:space="preserve">6</w:t>
            </w:r>
          </w:p>
          <w:p>
            <w:pPr>
              <w:spacing w:after="0" w:before="0"/>
              <w:jc w:val="center"/>
            </w:pPr>
            <w:r>
              <w:rPr>
                <w:rFonts w:ascii="Arial" w:cs="Arial" w:eastAsia="Arial" w:hAnsi="Arial"/>
                <w:b/>
                <w:bCs/>
                <w:color w:val="FFFFFF"/>
                <w:sz w:val="16"/>
                <w:szCs w:val="16"/>
              </w:rPr>
              <w:t xml:space="preserve">Natural Language Query</w:t>
            </w:r>
          </w:p>
        </w:tc>
        <w:tc>
          <w:tcPr>
            <w:tcW w:type="dxa" w:w="300"/>
            <w:tcBorders>
              <w:top w:val="none" w:color="FFFFFF" w:sz="0"/>
              <w:left w:val="none" w:color="FFFFFF" w:sz="0"/>
              <w:bottom w:val="none" w:color="FFFFFF" w:sz="0"/>
              <w:right w:val="none" w:color="FFFFFF" w:sz="0"/>
            </w:tcBorders>
            <w:tcMar>
              <w:top w:type="dxa" w:w="80"/>
              <w:left w:type="dxa" w:w="0"/>
              <w:bottom w:type="dxa" w:w="80"/>
              <w:right w:type="dxa" w:w="0"/>
            </w:tcMar>
          </w:tcPr>
          <w:p>
            <w:pPr>
              <w:jc w:val="center"/>
            </w:pPr>
            <w:r>
              <w:rPr>
                <w:rFonts w:ascii="Arial" w:cs="Arial" w:eastAsia="Arial" w:hAnsi="Arial"/>
                <w:b/>
                <w:bCs/>
                <w:color w:val="2563EB"/>
                <w:sz w:val="20"/>
                <w:szCs w:val="20"/>
              </w:rPr>
              <w:t xml:space="preserve">&gt;&gt;</w:t>
            </w:r>
          </w:p>
        </w:tc>
        <w:tc>
          <w:tcPr>
            <w:tcW w:type="dxa" w:w="1680"/>
            <w:tcBorders>
              <w:top w:val="single" w:color="CBD5E1" w:sz="1"/>
              <w:left w:val="single" w:color="CBD5E1" w:sz="1"/>
              <w:bottom w:val="single" w:color="CBD5E1" w:sz="1"/>
              <w:right w:val="single" w:color="CBD5E1" w:sz="1"/>
            </w:tcBorders>
            <w:shd w:fill="065F46" w:val="clear"/>
            <w:tcMar>
              <w:top w:type="dxa" w:w="80"/>
              <w:left w:type="dxa" w:w="100"/>
              <w:bottom w:type="dxa" w:w="80"/>
              <w:right w:type="dxa" w:w="100"/>
            </w:tcMar>
          </w:tcPr>
          <w:p>
            <w:pPr>
              <w:spacing w:after="20" w:before="0"/>
              <w:jc w:val="center"/>
            </w:pPr>
            <w:r>
              <w:rPr>
                <w:rFonts w:ascii="Arial" w:cs="Arial" w:eastAsia="Arial" w:hAnsi="Arial"/>
                <w:b/>
                <w:bCs/>
                <w:color w:val="FFFFFF"/>
                <w:sz w:val="28"/>
                <w:szCs w:val="28"/>
              </w:rPr>
              <w:t xml:space="preserve">7</w:t>
            </w:r>
          </w:p>
          <w:p>
            <w:pPr>
              <w:spacing w:after="0" w:before="0"/>
              <w:jc w:val="center"/>
            </w:pPr>
            <w:r>
              <w:rPr>
                <w:rFonts w:ascii="Arial" w:cs="Arial" w:eastAsia="Arial" w:hAnsi="Arial"/>
                <w:b/>
                <w:bCs/>
                <w:color w:val="FFFFFF"/>
                <w:sz w:val="16"/>
                <w:szCs w:val="16"/>
              </w:rPr>
              <w:t xml:space="preserve">Permission-Scoped Search</w:t>
            </w:r>
          </w:p>
        </w:tc>
        <w:tc>
          <w:tcPr>
            <w:tcW w:type="dxa" w:w="300"/>
            <w:tcBorders>
              <w:top w:val="none" w:color="FFFFFF" w:sz="0"/>
              <w:left w:val="none" w:color="FFFFFF" w:sz="0"/>
              <w:bottom w:val="none" w:color="FFFFFF" w:sz="0"/>
              <w:right w:val="none" w:color="FFFFFF" w:sz="0"/>
            </w:tcBorders>
            <w:tcMar>
              <w:top w:type="dxa" w:w="80"/>
              <w:left w:type="dxa" w:w="0"/>
              <w:bottom w:type="dxa" w:w="80"/>
              <w:right w:type="dxa" w:w="0"/>
            </w:tcMar>
          </w:tcPr>
          <w:p>
            <w:pPr>
              <w:jc w:val="center"/>
            </w:pPr>
            <w:r>
              <w:rPr>
                <w:rFonts w:ascii="Arial" w:cs="Arial" w:eastAsia="Arial" w:hAnsi="Arial"/>
                <w:b/>
                <w:bCs/>
                <w:color w:val="2563EB"/>
                <w:sz w:val="20"/>
                <w:szCs w:val="20"/>
              </w:rPr>
              <w:t xml:space="preserve">&gt;&gt;</w:t>
            </w:r>
          </w:p>
        </w:tc>
        <w:tc>
          <w:tcPr>
            <w:tcW w:type="dxa" w:w="1680"/>
            <w:tcBorders>
              <w:top w:val="single" w:color="CBD5E1" w:sz="1"/>
              <w:left w:val="single" w:color="CBD5E1" w:sz="1"/>
              <w:bottom w:val="single" w:color="CBD5E1" w:sz="1"/>
              <w:right w:val="single" w:color="CBD5E1" w:sz="1"/>
            </w:tcBorders>
            <w:shd w:fill="0F766E" w:val="clear"/>
            <w:tcMar>
              <w:top w:type="dxa" w:w="80"/>
              <w:left w:type="dxa" w:w="100"/>
              <w:bottom w:type="dxa" w:w="80"/>
              <w:right w:type="dxa" w:w="100"/>
            </w:tcMar>
          </w:tcPr>
          <w:p>
            <w:pPr>
              <w:spacing w:after="20" w:before="0"/>
              <w:jc w:val="center"/>
            </w:pPr>
            <w:r>
              <w:rPr>
                <w:rFonts w:ascii="Arial" w:cs="Arial" w:eastAsia="Arial" w:hAnsi="Arial"/>
                <w:b/>
                <w:bCs/>
                <w:color w:val="FFFFFF"/>
                <w:sz w:val="28"/>
                <w:szCs w:val="28"/>
              </w:rPr>
              <w:t xml:space="preserve">8</w:t>
            </w:r>
          </w:p>
          <w:p>
            <w:pPr>
              <w:spacing w:after="0" w:before="0"/>
              <w:jc w:val="center"/>
            </w:pPr>
            <w:r>
              <w:rPr>
                <w:rFonts w:ascii="Arial" w:cs="Arial" w:eastAsia="Arial" w:hAnsi="Arial"/>
                <w:b/>
                <w:bCs/>
                <w:color w:val="FFFFFF"/>
                <w:sz w:val="16"/>
                <w:szCs w:val="16"/>
              </w:rPr>
              <w:t xml:space="preserve">Temporal Re-Ranking</w:t>
            </w:r>
          </w:p>
        </w:tc>
        <w:tc>
          <w:tcPr>
            <w:tcW w:type="dxa" w:w="300"/>
            <w:tcBorders>
              <w:top w:val="none" w:color="FFFFFF" w:sz="0"/>
              <w:left w:val="none" w:color="FFFFFF" w:sz="0"/>
              <w:bottom w:val="none" w:color="FFFFFF" w:sz="0"/>
              <w:right w:val="none" w:color="FFFFFF" w:sz="0"/>
            </w:tcBorders>
            <w:tcMar>
              <w:top w:type="dxa" w:w="80"/>
              <w:left w:type="dxa" w:w="0"/>
              <w:bottom w:type="dxa" w:w="80"/>
              <w:right w:type="dxa" w:w="0"/>
            </w:tcMar>
          </w:tcPr>
          <w:p>
            <w:pPr>
              <w:jc w:val="center"/>
            </w:pPr>
            <w:r>
              <w:rPr>
                <w:rFonts w:ascii="Arial" w:cs="Arial" w:eastAsia="Arial" w:hAnsi="Arial"/>
                <w:b/>
                <w:bCs/>
                <w:color w:val="2563EB"/>
                <w:sz w:val="20"/>
                <w:szCs w:val="20"/>
              </w:rPr>
              <w:t xml:space="preserve">&gt;&gt;</w:t>
            </w:r>
          </w:p>
        </w:tc>
        <w:tc>
          <w:tcPr>
            <w:tcW w:type="dxa" w:w="1680"/>
            <w:tcBorders>
              <w:top w:val="single" w:color="CBD5E1" w:sz="1"/>
              <w:left w:val="single" w:color="CBD5E1" w:sz="1"/>
              <w:bottom w:val="single" w:color="CBD5E1" w:sz="1"/>
              <w:right w:val="single" w:color="CBD5E1" w:sz="1"/>
            </w:tcBorders>
            <w:shd w:fill="0D1B2A" w:val="clear"/>
            <w:tcMar>
              <w:top w:type="dxa" w:w="80"/>
              <w:left w:type="dxa" w:w="100"/>
              <w:bottom w:type="dxa" w:w="80"/>
              <w:right w:type="dxa" w:w="100"/>
            </w:tcMar>
          </w:tcPr>
          <w:p>
            <w:pPr>
              <w:spacing w:after="20" w:before="0"/>
              <w:jc w:val="center"/>
            </w:pPr>
            <w:r>
              <w:rPr>
                <w:rFonts w:ascii="Arial" w:cs="Arial" w:eastAsia="Arial" w:hAnsi="Arial"/>
                <w:b/>
                <w:bCs/>
                <w:color w:val="FFFFFF"/>
                <w:sz w:val="28"/>
                <w:szCs w:val="28"/>
              </w:rPr>
              <w:t xml:space="preserve">9</w:t>
            </w:r>
          </w:p>
          <w:p>
            <w:pPr>
              <w:spacing w:after="0" w:before="0"/>
              <w:jc w:val="center"/>
            </w:pPr>
            <w:r>
              <w:rPr>
                <w:rFonts w:ascii="Arial" w:cs="Arial" w:eastAsia="Arial" w:hAnsi="Arial"/>
                <w:b/>
                <w:bCs/>
                <w:color w:val="FFFFFF"/>
                <w:sz w:val="16"/>
                <w:szCs w:val="16"/>
              </w:rPr>
              <w:t xml:space="preserve">GPT-4o Synthesis</w:t>
            </w:r>
          </w:p>
        </w:tc>
        <w:tc>
          <w:tcPr>
            <w:tcW w:type="dxa" w:w="300"/>
            <w:tcBorders>
              <w:top w:val="none" w:color="FFFFFF" w:sz="0"/>
              <w:left w:val="none" w:color="FFFFFF" w:sz="0"/>
              <w:bottom w:val="none" w:color="FFFFFF" w:sz="0"/>
              <w:right w:val="none" w:color="FFFFFF" w:sz="0"/>
            </w:tcBorders>
            <w:tcMar>
              <w:top w:type="dxa" w:w="80"/>
              <w:left w:type="dxa" w:w="0"/>
              <w:bottom w:type="dxa" w:w="80"/>
              <w:right w:type="dxa" w:w="0"/>
            </w:tcMar>
          </w:tcPr>
          <w:p>
            <w:pPr>
              <w:jc w:val="center"/>
            </w:pPr>
            <w:r>
              <w:rPr>
                <w:rFonts w:ascii="Arial" w:cs="Arial" w:eastAsia="Arial" w:hAnsi="Arial"/>
                <w:b/>
                <w:bCs/>
                <w:color w:val="2563EB"/>
                <w:sz w:val="20"/>
                <w:szCs w:val="20"/>
              </w:rPr>
              <w:t xml:space="preserve">&gt;&gt;</w:t>
            </w:r>
          </w:p>
        </w:tc>
        <w:tc>
          <w:tcPr>
            <w:tcW w:type="dxa" w:w="1680"/>
            <w:tcBorders>
              <w:top w:val="single" w:color="CBD5E1" w:sz="1"/>
              <w:left w:val="single" w:color="CBD5E1" w:sz="1"/>
              <w:bottom w:val="single" w:color="CBD5E1" w:sz="1"/>
              <w:right w:val="single" w:color="CBD5E1" w:sz="1"/>
            </w:tcBorders>
            <w:shd w:fill="0D1B2A" w:val="clear"/>
            <w:tcMar>
              <w:top w:type="dxa" w:w="80"/>
              <w:left w:type="dxa" w:w="100"/>
              <w:bottom w:type="dxa" w:w="80"/>
              <w:right w:type="dxa" w:w="100"/>
            </w:tcMar>
          </w:tcPr>
          <w:p>
            <w:pPr>
              <w:spacing w:after="20" w:before="0"/>
              <w:jc w:val="center"/>
            </w:pPr>
            <w:r>
              <w:rPr>
                <w:rFonts w:ascii="Arial" w:cs="Arial" w:eastAsia="Arial" w:hAnsi="Arial"/>
                <w:b/>
                <w:bCs/>
                <w:color w:val="FFFFFF"/>
                <w:sz w:val="28"/>
                <w:szCs w:val="28"/>
              </w:rPr>
              <w:t xml:space="preserve">10</w:t>
            </w:r>
          </w:p>
          <w:p>
            <w:pPr>
              <w:spacing w:after="0" w:before="0"/>
              <w:jc w:val="center"/>
            </w:pPr>
            <w:r>
              <w:rPr>
                <w:rFonts w:ascii="Arial" w:cs="Arial" w:eastAsia="Arial" w:hAnsi="Arial"/>
                <w:b/>
                <w:bCs/>
                <w:color w:val="FFFFFF"/>
                <w:sz w:val="16"/>
                <w:szCs w:val="16"/>
              </w:rPr>
              <w:t xml:space="preserve">Cited Answer Delivered</w:t>
            </w:r>
          </w:p>
        </w:tc>
      </w:tr>
    </w:tbl>
    <w:p>
      <w:pPr>
        <w:spacing w:after="70" w:before="0"/>
      </w:pPr>
      <w:r>
        <w:rPr>
          <w:sz w:val="4"/>
          <w:szCs w:val="4"/>
        </w:rPr>
        <w:t xml:space="preserve"/>
      </w:r>
    </w:p>
    <w:p>
      <w:pPr>
        <w:pStyle w:val="Heading2"/>
        <w:spacing w:after="100" w:before="260"/>
      </w:pPr>
      <w:r>
        <w:rPr>
          <w:rFonts w:ascii="Arial" w:cs="Arial" w:eastAsia="Arial" w:hAnsi="Arial"/>
          <w:b/>
          <w:bCs/>
          <w:color w:val="1B4F8A"/>
          <w:sz w:val="25"/>
          <w:szCs w:val="25"/>
        </w:rPr>
        <w:t xml:space="preserve">2.2  Walkthrough: "Why was Feature X delayed?"</w:t>
      </w:r>
    </w:p>
    <w:p>
      <w:pPr>
        <w:spacing w:after="100" w:before="0" w:line="300"/>
        <w:jc w:val="both"/>
      </w:pPr>
      <w:r>
        <w:rPr>
          <w:rFonts w:ascii="Arial" w:cs="Arial" w:eastAsia="Arial" w:hAnsi="Arial"/>
          <w:b w:val="false"/>
          <w:bCs w:val="false"/>
          <w:i w:val="false"/>
          <w:iCs w:val="false"/>
          <w:color w:val="1E293B"/>
          <w:sz w:val="22"/>
          <w:szCs w:val="22"/>
        </w:rPr>
        <w:t xml:space="preserve">This single scenario demonstrates every core capability Company Brain offers. It is real. It happens at every company. And no existing tool can answer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40"/>
        <w:gridCol w:w="2160"/>
        <w:gridCol w:w="3240"/>
        <w:gridCol w:w="4140"/>
      </w:tblGrid>
      <w:tr>
        <w:tc>
          <w:tcPr>
            <w:tcW w:type="dxa" w:w="54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t>
            </w:r>
          </w:p>
        </w:tc>
        <w:tc>
          <w:tcPr>
            <w:tcW w:type="dxa" w:w="216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System Action</w:t>
            </w:r>
          </w:p>
        </w:tc>
        <w:tc>
          <w:tcPr>
            <w:tcW w:type="dxa" w:w="324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Source Surfaced</w:t>
            </w:r>
          </w:p>
        </w:tc>
        <w:tc>
          <w:tcPr>
            <w:tcW w:type="dxa" w:w="414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What the User Sees</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pPr>
              <w:jc w:val="center"/>
            </w:pPr>
            <w:r>
              <w:rPr>
                <w:rFonts w:ascii="Arial" w:cs="Arial" w:eastAsia="Arial" w:hAnsi="Arial"/>
                <w:b/>
                <w:bCs/>
                <w:color w:val="1B4F8A"/>
                <w:sz w:val="20"/>
                <w:szCs w:val="20"/>
              </w:rPr>
              <w:t xml:space="preserve">1</w:t>
            </w:r>
          </w:p>
        </w:tc>
        <w:tc>
          <w:tcPr>
            <w:tcW w:type="dxa" w:w="2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Query submitted</w:t>
            </w:r>
          </w:p>
        </w:tc>
        <w:tc>
          <w:tcPr>
            <w:tcW w:type="dxa" w:w="32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User types: "Why was mobile onboarding delayed in Q3 2024?"</w:t>
            </w:r>
          </w:p>
        </w:tc>
        <w:tc>
          <w:tcPr>
            <w:tcW w:type="dxa" w:w="41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Clean query input. No boolean operators, no file names, no folders. Plain English.</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pPr>
              <w:jc w:val="center"/>
            </w:pPr>
            <w:r>
              <w:rPr>
                <w:rFonts w:ascii="Arial" w:cs="Arial" w:eastAsia="Arial" w:hAnsi="Arial"/>
                <w:b/>
                <w:bCs/>
                <w:color w:val="1B4F8A"/>
                <w:sz w:val="20"/>
                <w:szCs w:val="20"/>
              </w:rPr>
              <w:t xml:space="preserve">2</w:t>
            </w:r>
          </w:p>
        </w:tc>
        <w:tc>
          <w:tcPr>
            <w:tcW w:type="dxa" w:w="2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Cross-platform retrieval fires</w:t>
            </w:r>
          </w:p>
        </w:tc>
        <w:tc>
          <w:tcPr>
            <w:tcW w:type="dxa" w:w="32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Searches Slack, GitHub, Notion simultaneously. Permission filter applied before results return.</w:t>
            </w:r>
          </w:p>
        </w:tc>
        <w:tc>
          <w:tcPr>
            <w:tcW w:type="dxa" w:w="41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Streaming response begins in &lt; 2 seconds. User sees "Searching across Slack, GitHub, Notion..."</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pPr>
              <w:jc w:val="center"/>
            </w:pPr>
            <w:r>
              <w:rPr>
                <w:rFonts w:ascii="Arial" w:cs="Arial" w:eastAsia="Arial" w:hAnsi="Arial"/>
                <w:b/>
                <w:bCs/>
                <w:color w:val="1B4F8A"/>
                <w:sz w:val="20"/>
                <w:szCs w:val="20"/>
              </w:rPr>
              <w:t xml:space="preserve">3</w:t>
            </w:r>
          </w:p>
        </w:tc>
        <w:tc>
          <w:tcPr>
            <w:tcW w:type="dxa" w:w="2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Slack source cited</w:t>
            </w:r>
          </w:p>
        </w:tc>
        <w:tc>
          <w:tcPr>
            <w:tcW w:type="dxa" w:w="32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Slack #product-planning, Aug 14 2024 — Sarah K: "Pushing mobile onboarding to Q4 due to infra incident bandwidth."</w:t>
            </w:r>
          </w:p>
        </w:tc>
        <w:tc>
          <w:tcPr>
            <w:tcW w:type="dxa" w:w="41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Citation 1 appears: Author, channel, date, direct link. Temporal score: HIGH CONFIDENCE.</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pPr>
              <w:jc w:val="center"/>
            </w:pPr>
            <w:r>
              <w:rPr>
                <w:rFonts w:ascii="Arial" w:cs="Arial" w:eastAsia="Arial" w:hAnsi="Arial"/>
                <w:b/>
                <w:bCs/>
                <w:color w:val="1B4F8A"/>
                <w:sz w:val="20"/>
                <w:szCs w:val="20"/>
              </w:rPr>
              <w:t xml:space="preserve">4</w:t>
            </w:r>
          </w:p>
        </w:tc>
        <w:tc>
          <w:tcPr>
            <w:tcW w:type="dxa" w:w="2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GitHub source cited</w:t>
            </w:r>
          </w:p>
        </w:tc>
        <w:tc>
          <w:tcPr>
            <w:tcW w:type="dxa" w:w="32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GitHub Issue #2847, Sep 2 2024 — "Mobile onboarding rescheduled. Ref: Infra Incident #2801."</w:t>
            </w:r>
          </w:p>
        </w:tc>
        <w:tc>
          <w:tcPr>
            <w:tcW w:type="dxa" w:w="41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Citation 2 appears: Issue number, date, assignee, direct link to GitHub.</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pPr>
              <w:jc w:val="center"/>
            </w:pPr>
            <w:r>
              <w:rPr>
                <w:rFonts w:ascii="Arial" w:cs="Arial" w:eastAsia="Arial" w:hAnsi="Arial"/>
                <w:b/>
                <w:bCs/>
                <w:color w:val="1B4F8A"/>
                <w:sz w:val="20"/>
                <w:szCs w:val="20"/>
              </w:rPr>
              <w:t xml:space="preserve">5</w:t>
            </w:r>
          </w:p>
        </w:tc>
        <w:tc>
          <w:tcPr>
            <w:tcW w:type="dxa" w:w="2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Notion source cited</w:t>
            </w:r>
          </w:p>
        </w:tc>
        <w:tc>
          <w:tcPr>
            <w:tcW w:type="dxa" w:w="32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Notion Q3 Retrospective, Oct 2024 — "Mobile onboarding deprioritized due to Incident #2801. Moved to Q4 Sprint 3."</w:t>
            </w:r>
          </w:p>
        </w:tc>
        <w:tc>
          <w:tcPr>
            <w:tcW w:type="dxa" w:w="41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Citation 3 appears: Notion page title, author, date, link.</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pPr>
              <w:jc w:val="center"/>
            </w:pPr>
            <w:r>
              <w:rPr>
                <w:rFonts w:ascii="Arial" w:cs="Arial" w:eastAsia="Arial" w:hAnsi="Arial"/>
                <w:b/>
                <w:bCs/>
                <w:color w:val="1B4F8A"/>
                <w:sz w:val="20"/>
                <w:szCs w:val="20"/>
              </w:rPr>
              <w:t xml:space="preserve">6</w:t>
            </w:r>
          </w:p>
        </w:tc>
        <w:tc>
          <w:tcPr>
            <w:tcW w:type="dxa" w:w="2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Temporal confidence shown</w:t>
            </w:r>
          </w:p>
        </w:tc>
        <w:tc>
          <w:tcPr>
            <w:tcW w:type="dxa" w:w="32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All three sources dated within 12 months. LOW volatility domain. Confidence: FRESH.</w:t>
            </w:r>
          </w:p>
        </w:tc>
        <w:tc>
          <w:tcPr>
            <w:tcW w:type="dxa" w:w="41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Green indicator: "This knowledge is current. Verified across 3 sources."</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pPr>
              <w:jc w:val="center"/>
            </w:pPr>
            <w:r>
              <w:rPr>
                <w:rFonts w:ascii="Arial" w:cs="Arial" w:eastAsia="Arial" w:hAnsi="Arial"/>
                <w:b/>
                <w:bCs/>
                <w:color w:val="1B4F8A"/>
                <w:sz w:val="20"/>
                <w:szCs w:val="20"/>
              </w:rPr>
              <w:t xml:space="preserve">7</w:t>
            </w:r>
          </w:p>
        </w:tc>
        <w:tc>
          <w:tcPr>
            <w:tcW w:type="dxa" w:w="2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Permission enforced</w:t>
            </w:r>
          </w:p>
        </w:tc>
        <w:tc>
          <w:tcPr>
            <w:tcW w:type="dxa" w:w="32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Lower-access user runs same query. Slack thread and GitHub issue hidden. Only Notion page returned.</w:t>
            </w:r>
          </w:p>
        </w:tc>
        <w:tc>
          <w:tcPr>
            <w:tcW w:type="dxa" w:w="41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Different user sees different results. Zero leakage. Architectural guarantee — not a filter.</w:t>
            </w:r>
          </w:p>
        </w:tc>
      </w:tr>
    </w:tbl>
    <w:p>
      <w:pPr>
        <w:spacing w:after="70" w:before="0"/>
      </w:pPr>
      <w:r>
        <w:rPr>
          <w:sz w:val="4"/>
          <w:szCs w:val="4"/>
        </w:rPr>
        <w:t xml:space="preserve"/>
      </w:r>
    </w:p>
    <w:p>
      <w:pPr>
        <w:shd w:fill="0D1B2A" w:val="clear"/>
        <w:spacing w:after="100" w:before="100"/>
        <w:jc w:val="center"/>
      </w:pPr>
      <w:r>
        <w:rPr>
          <w:rFonts w:ascii="Arial" w:cs="Arial" w:eastAsia="Arial" w:hAnsi="Arial"/>
          <w:b/>
          <w:bCs/>
          <w:i/>
          <w:iCs/>
          <w:color w:val="FFFFFF"/>
          <w:sz w:val="24"/>
          <w:szCs w:val="24"/>
        </w:rPr>
        <w:t xml:space="preserve">Three sources. One answer. Thirty seconds.  No interviews. No searching. No guessing.</w:t>
      </w:r>
    </w:p>
    <w:p>
      <w:pPr>
        <w:spacing w:after="70" w:before="0"/>
      </w:pPr>
      <w:r>
        <w:rPr>
          <w:sz w:val="4"/>
          <w:szCs w:val="4"/>
        </w:rPr>
        <w:t xml:space="preserve"/>
      </w:r>
    </w:p>
    <w:p>
      <w:r>
        <w:br w:type="page"/>
      </w:r>
    </w:p>
    <w:p>
      <w:pPr>
        <w:pStyle w:val="Heading1"/>
        <w:pBdr>
          <w:bottom w:val="single" w:color="2563EB" w:sz="12" w:space="5"/>
        </w:pBdr>
        <w:spacing w:after="160" w:before="400"/>
      </w:pPr>
      <w:r>
        <w:rPr>
          <w:rFonts w:ascii="Arial" w:cs="Arial" w:eastAsia="Arial" w:hAnsi="Arial"/>
          <w:b/>
          <w:bCs/>
          <w:color w:val="0D1B2A"/>
          <w:sz w:val="34"/>
          <w:szCs w:val="34"/>
        </w:rPr>
        <w:t xml:space="preserve">3. MVP Scope</w:t>
      </w:r>
    </w:p>
    <w:p>
      <w:pPr>
        <w:pBdr>
          <w:left w:val="single" w:color="2563EB" w:sz="24" w:space="10"/>
        </w:pBdr>
        <w:shd w:fill="DBEAFE" w:val="clear"/>
        <w:spacing w:after="120" w:before="120"/>
        <w:ind w:left="120"/>
        <w:jc w:val="both"/>
      </w:pPr>
      <w:r>
        <w:rPr>
          <w:rFonts w:ascii="Arial" w:cs="Arial" w:eastAsia="Arial" w:hAnsi="Arial"/>
          <w:b/>
          <w:bCs/>
          <w:i/>
          <w:iCs/>
          <w:color w:val="0D1B2A"/>
          <w:sz w:val="23"/>
          <w:szCs w:val="23"/>
        </w:rPr>
        <w:t xml:space="preserve">The MVP proves the core thesis: institutional memory can be made queryable, cited, permission-safe, and temporally aware — across multiple enterprise platforms — in a live demo environment.</w:t>
      </w:r>
    </w:p>
    <w:p>
      <w:pPr>
        <w:spacing w:after="70" w:before="0"/>
      </w:pPr>
      <w:r>
        <w:rPr>
          <w:sz w:val="4"/>
          <w:szCs w:val="4"/>
        </w:rPr>
        <w:t xml:space="preserve"/>
      </w:r>
    </w:p>
    <w:p>
      <w:pPr>
        <w:pStyle w:val="Heading2"/>
        <w:spacing w:after="100" w:before="260"/>
      </w:pPr>
      <w:r>
        <w:rPr>
          <w:rFonts w:ascii="Arial" w:cs="Arial" w:eastAsia="Arial" w:hAnsi="Arial"/>
          <w:b/>
          <w:bCs/>
          <w:color w:val="1B4F8A"/>
          <w:sz w:val="25"/>
          <w:szCs w:val="25"/>
        </w:rPr>
        <w:t xml:space="preserve">3.1  What WILL Be Built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60"/>
        <w:gridCol w:w="4680"/>
        <w:gridCol w:w="2640"/>
      </w:tblGrid>
      <w:tr>
        <w:tc>
          <w:tcPr>
            <w:tcW w:type="dxa" w:w="276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Feature</w:t>
            </w:r>
          </w:p>
        </w:tc>
        <w:tc>
          <w:tcPr>
            <w:tcW w:type="dxa" w:w="468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Description</w:t>
            </w:r>
          </w:p>
        </w:tc>
        <w:tc>
          <w:tcPr>
            <w:tcW w:type="dxa" w:w="264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Status</w:t>
            </w:r>
          </w:p>
        </w:tc>
      </w:tr>
      <w:tr>
        <w:tc>
          <w:tcPr>
            <w:tcW w:type="dxa" w:w="27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pPr>
              <w:jc w:val="left"/>
            </w:pPr>
            <w:r>
              <w:rPr>
                <w:rFonts w:ascii="Arial" w:cs="Arial" w:eastAsia="Arial" w:hAnsi="Arial"/>
                <w:b/>
                <w:bCs/>
                <w:color w:val="1B4F8A"/>
                <w:sz w:val="20"/>
                <w:szCs w:val="20"/>
              </w:rPr>
              <w:t xml:space="preserve">GitHub Connector</w:t>
            </w:r>
          </w:p>
        </w:tc>
        <w:tc>
          <w:tcPr>
            <w:tcW w:type="dxa" w:w="4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Ingests PRs, issues, discussions, and review comments. Captures author, timestamp, linked issues.</w:t>
            </w:r>
          </w:p>
        </w:tc>
        <w:tc>
          <w:tcPr>
            <w:tcW w:type="dxa" w:w="26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center"/>
            </w:pPr>
            <w:r>
              <w:rPr>
                <w:rFonts w:ascii="Arial" w:cs="Arial" w:eastAsia="Arial" w:hAnsi="Arial"/>
                <w:b/>
                <w:bCs/>
                <w:color w:val="065F46"/>
                <w:sz w:val="20"/>
                <w:szCs w:val="20"/>
              </w:rPr>
              <w:t xml:space="preserve">COMPLETE</w:t>
            </w:r>
          </w:p>
        </w:tc>
      </w:tr>
      <w:tr>
        <w:tc>
          <w:tcPr>
            <w:tcW w:type="dxa" w:w="27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pPr>
              <w:jc w:val="left"/>
            </w:pPr>
            <w:r>
              <w:rPr>
                <w:rFonts w:ascii="Arial" w:cs="Arial" w:eastAsia="Arial" w:hAnsi="Arial"/>
                <w:b/>
                <w:bCs/>
                <w:color w:val="1B4F8A"/>
                <w:sz w:val="20"/>
                <w:szCs w:val="20"/>
              </w:rPr>
              <w:t xml:space="preserve">Gmail Connector</w:t>
            </w:r>
          </w:p>
        </w:tc>
        <w:tc>
          <w:tcPr>
            <w:tcW w:type="dxa" w:w="4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Ingests email threads with sender, recipients, subject, date, and body text.</w:t>
            </w:r>
          </w:p>
        </w:tc>
        <w:tc>
          <w:tcPr>
            <w:tcW w:type="dxa" w:w="26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center"/>
            </w:pPr>
            <w:r>
              <w:rPr>
                <w:rFonts w:ascii="Arial" w:cs="Arial" w:eastAsia="Arial" w:hAnsi="Arial"/>
                <w:b/>
                <w:bCs/>
                <w:color w:val="065F46"/>
                <w:sz w:val="20"/>
                <w:szCs w:val="20"/>
              </w:rPr>
              <w:t xml:space="preserve">COMPLETE</w:t>
            </w:r>
          </w:p>
        </w:tc>
      </w:tr>
      <w:tr>
        <w:tc>
          <w:tcPr>
            <w:tcW w:type="dxa" w:w="27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pPr>
              <w:jc w:val="left"/>
            </w:pPr>
            <w:r>
              <w:rPr>
                <w:rFonts w:ascii="Arial" w:cs="Arial" w:eastAsia="Arial" w:hAnsi="Arial"/>
                <w:b/>
                <w:bCs/>
                <w:color w:val="1B4F8A"/>
                <w:sz w:val="20"/>
                <w:szCs w:val="20"/>
              </w:rPr>
              <w:t xml:space="preserve">Google Drive Connector</w:t>
            </w:r>
          </w:p>
        </w:tc>
        <w:tc>
          <w:tcPr>
            <w:tcW w:type="dxa" w:w="4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Ingests Docs and PDFs. Captures owner, sharing settings, last-modified date.</w:t>
            </w:r>
          </w:p>
        </w:tc>
        <w:tc>
          <w:tcPr>
            <w:tcW w:type="dxa" w:w="26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center"/>
            </w:pPr>
            <w:r>
              <w:rPr>
                <w:rFonts w:ascii="Arial" w:cs="Arial" w:eastAsia="Arial" w:hAnsi="Arial"/>
                <w:b/>
                <w:bCs/>
                <w:color w:val="065F46"/>
                <w:sz w:val="20"/>
                <w:szCs w:val="20"/>
              </w:rPr>
              <w:t xml:space="preserve">COMPLETE</w:t>
            </w:r>
          </w:p>
        </w:tc>
      </w:tr>
      <w:tr>
        <w:tc>
          <w:tcPr>
            <w:tcW w:type="dxa" w:w="27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pPr>
              <w:jc w:val="left"/>
            </w:pPr>
            <w:r>
              <w:rPr>
                <w:rFonts w:ascii="Arial" w:cs="Arial" w:eastAsia="Arial" w:hAnsi="Arial"/>
                <w:b/>
                <w:bCs/>
                <w:color w:val="1B4F8A"/>
                <w:sz w:val="20"/>
                <w:szCs w:val="20"/>
              </w:rPr>
              <w:t xml:space="preserve">Notion Connector</w:t>
            </w:r>
          </w:p>
        </w:tc>
        <w:tc>
          <w:tcPr>
            <w:tcW w:type="dxa" w:w="4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Ingests pages and database entries. Captures page hierarchy, author, and workspace membership.</w:t>
            </w:r>
          </w:p>
        </w:tc>
        <w:tc>
          <w:tcPr>
            <w:tcW w:type="dxa" w:w="26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center"/>
            </w:pPr>
            <w:r>
              <w:rPr>
                <w:rFonts w:ascii="Arial" w:cs="Arial" w:eastAsia="Arial" w:hAnsi="Arial"/>
                <w:b/>
                <w:bCs/>
                <w:color w:val="065F46"/>
                <w:sz w:val="20"/>
                <w:szCs w:val="20"/>
              </w:rPr>
              <w:t xml:space="preserve">COMPLETE</w:t>
            </w:r>
          </w:p>
        </w:tc>
      </w:tr>
      <w:tr>
        <w:tc>
          <w:tcPr>
            <w:tcW w:type="dxa" w:w="27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pPr>
              <w:jc w:val="left"/>
            </w:pPr>
            <w:r>
              <w:rPr>
                <w:rFonts w:ascii="Arial" w:cs="Arial" w:eastAsia="Arial" w:hAnsi="Arial"/>
                <w:b/>
                <w:bCs/>
                <w:color w:val="1B4F8A"/>
                <w:sz w:val="20"/>
                <w:szCs w:val="20"/>
              </w:rPr>
              <w:t xml:space="preserve">Embedding Pipeline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Semantic chunking (256–512 tokens), OpenAI text-embedding-3-large, vector storage with full metadata.</w:t>
            </w:r>
          </w:p>
        </w:tc>
        <w:tc>
          <w:tcPr>
            <w:tcW w:type="dxa" w:w="26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center"/>
            </w:pPr>
            <w:r>
              <w:rPr>
                <w:rFonts w:ascii="Arial" w:cs="Arial" w:eastAsia="Arial" w:hAnsi="Arial"/>
                <w:b/>
                <w:bCs/>
                <w:color w:val="065F46"/>
                <w:sz w:val="20"/>
                <w:szCs w:val="20"/>
              </w:rPr>
              <w:t xml:space="preserve">COMPLETE</w:t>
            </w:r>
          </w:p>
        </w:tc>
      </w:tr>
      <w:tr>
        <w:tc>
          <w:tcPr>
            <w:tcW w:type="dxa" w:w="27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pPr>
              <w:jc w:val="left"/>
            </w:pPr>
            <w:r>
              <w:rPr>
                <w:rFonts w:ascii="Arial" w:cs="Arial" w:eastAsia="Arial" w:hAnsi="Arial"/>
                <w:b/>
                <w:bCs/>
                <w:color w:val="1B4F8A"/>
                <w:sz w:val="20"/>
                <w:szCs w:val="20"/>
              </w:rPr>
              <w:t xml:space="preserve">Permission-Aware Retrieval</w:t>
            </w:r>
          </w:p>
        </w:tc>
        <w:tc>
          <w:tcPr>
            <w:tcW w:type="dxa" w:w="4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Access control metadata captured at ingestion. Enforced as hard filter at query time before results surface.</w:t>
            </w:r>
          </w:p>
        </w:tc>
        <w:tc>
          <w:tcPr>
            <w:tcW w:type="dxa" w:w="26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center"/>
            </w:pPr>
            <w:r>
              <w:rPr>
                <w:rFonts w:ascii="Arial" w:cs="Arial" w:eastAsia="Arial" w:hAnsi="Arial"/>
                <w:b/>
                <w:bCs/>
                <w:color w:val="78350F"/>
                <w:sz w:val="20"/>
                <w:szCs w:val="20"/>
              </w:rPr>
              <w:t xml:space="preserve">IN PROGRESS</w:t>
            </w:r>
          </w:p>
        </w:tc>
      </w:tr>
      <w:tr>
        <w:tc>
          <w:tcPr>
            <w:tcW w:type="dxa" w:w="27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pPr>
              <w:jc w:val="left"/>
            </w:pPr>
            <w:r>
              <w:rPr>
                <w:rFonts w:ascii="Arial" w:cs="Arial" w:eastAsia="Arial" w:hAnsi="Arial"/>
                <w:b/>
                <w:bCs/>
                <w:color w:val="1B4F8A"/>
                <w:sz w:val="20"/>
                <w:szCs w:val="20"/>
              </w:rPr>
              <w:t xml:space="preserve">Temporal Confidence Scoring</w:t>
            </w:r>
          </w:p>
        </w:tc>
        <w:tc>
          <w:tcPr>
            <w:tcW w:type="dxa" w:w="4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Decay model applied to every result: document age + domain volatility + deprecation signals = confidence score.</w:t>
            </w:r>
          </w:p>
        </w:tc>
        <w:tc>
          <w:tcPr>
            <w:tcW w:type="dxa" w:w="26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center"/>
            </w:pPr>
            <w:r>
              <w:rPr>
                <w:rFonts w:ascii="Arial" w:cs="Arial" w:eastAsia="Arial" w:hAnsi="Arial"/>
                <w:b/>
                <w:bCs/>
                <w:color w:val="78350F"/>
                <w:sz w:val="20"/>
                <w:szCs w:val="20"/>
              </w:rPr>
              <w:t xml:space="preserve">IN PROGRESS</w:t>
            </w:r>
          </w:p>
        </w:tc>
      </w:tr>
      <w:tr>
        <w:tc>
          <w:tcPr>
            <w:tcW w:type="dxa" w:w="27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pPr>
              <w:jc w:val="left"/>
            </w:pPr>
            <w:r>
              <w:rPr>
                <w:rFonts w:ascii="Arial" w:cs="Arial" w:eastAsia="Arial" w:hAnsi="Arial"/>
                <w:b/>
                <w:bCs/>
                <w:color w:val="1B4F8A"/>
                <w:sz w:val="20"/>
                <w:szCs w:val="20"/>
              </w:rPr>
              <w:t xml:space="preserve">Citation-Backed Responses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GPT-4o synthesis via function calling. Every claim has a source, author, timestamp, and direct link.</w:t>
            </w:r>
          </w:p>
        </w:tc>
        <w:tc>
          <w:tcPr>
            <w:tcW w:type="dxa" w:w="26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center"/>
            </w:pPr>
            <w:r>
              <w:rPr>
                <w:rFonts w:ascii="Arial" w:cs="Arial" w:eastAsia="Arial" w:hAnsi="Arial"/>
                <w:b/>
                <w:bCs/>
                <w:color w:val="2563EB"/>
                <w:sz w:val="20"/>
                <w:szCs w:val="20"/>
              </w:rPr>
              <w:t xml:space="preserve">Day 4</w:t>
            </w:r>
          </w:p>
        </w:tc>
      </w:tr>
      <w:tr>
        <w:tc>
          <w:tcPr>
            <w:tcW w:type="dxa" w:w="27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pPr>
              <w:jc w:val="left"/>
            </w:pPr>
            <w:r>
              <w:rPr>
                <w:rFonts w:ascii="Arial" w:cs="Arial" w:eastAsia="Arial" w:hAnsi="Arial"/>
                <w:b/>
                <w:bCs/>
                <w:color w:val="1B4F8A"/>
                <w:sz w:val="20"/>
                <w:szCs w:val="20"/>
              </w:rPr>
              <w:t xml:space="preserve">Decision Reconstruction</w:t>
            </w:r>
          </w:p>
        </w:tc>
        <w:tc>
          <w:tcPr>
            <w:tcW w:type="dxa" w:w="4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Multi-source synthesis that assembles a coherent account of organizational reasoning from fragments across platforms.</w:t>
            </w:r>
          </w:p>
        </w:tc>
        <w:tc>
          <w:tcPr>
            <w:tcW w:type="dxa" w:w="26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center"/>
            </w:pPr>
            <w:r>
              <w:rPr>
                <w:rFonts w:ascii="Arial" w:cs="Arial" w:eastAsia="Arial" w:hAnsi="Arial"/>
                <w:b/>
                <w:bCs/>
                <w:color w:val="2563EB"/>
                <w:sz w:val="20"/>
                <w:szCs w:val="20"/>
              </w:rPr>
              <w:t xml:space="preserve">Day 4–5</w:t>
            </w:r>
          </w:p>
        </w:tc>
      </w:tr>
      <w:tr>
        <w:tc>
          <w:tcPr>
            <w:tcW w:type="dxa" w:w="27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pPr>
              <w:jc w:val="left"/>
            </w:pPr>
            <w:r>
              <w:rPr>
                <w:rFonts w:ascii="Arial" w:cs="Arial" w:eastAsia="Arial" w:hAnsi="Arial"/>
                <w:b/>
                <w:bCs/>
                <w:color w:val="1B4F8A"/>
                <w:sz w:val="20"/>
                <w:szCs w:val="20"/>
              </w:rPr>
              <w:t xml:space="preserve">Query UI Dashboard</w:t>
            </w:r>
          </w:p>
        </w:tc>
        <w:tc>
          <w:tcPr>
            <w:tcW w:type="dxa" w:w="4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React/Next.js interface with streaming response display, citation panel with source links, and confidence indicators.</w:t>
            </w:r>
          </w:p>
        </w:tc>
        <w:tc>
          <w:tcPr>
            <w:tcW w:type="dxa" w:w="26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center"/>
            </w:pPr>
            <w:r>
              <w:rPr>
                <w:rFonts w:ascii="Arial" w:cs="Arial" w:eastAsia="Arial" w:hAnsi="Arial"/>
                <w:b/>
                <w:bCs/>
                <w:color w:val="2563EB"/>
                <w:sz w:val="20"/>
                <w:szCs w:val="20"/>
              </w:rPr>
              <w:t xml:space="preserve">Day 5–6</w:t>
            </w:r>
          </w:p>
        </w:tc>
      </w:tr>
    </w:tbl>
    <w:p>
      <w:pPr>
        <w:spacing w:after="70" w:before="0"/>
      </w:pPr>
      <w:r>
        <w:rPr>
          <w:sz w:val="4"/>
          <w:szCs w:val="4"/>
        </w:rPr>
        <w:t xml:space="preserve"/>
      </w:r>
    </w:p>
    <w:p>
      <w:pPr>
        <w:pStyle w:val="Heading2"/>
        <w:spacing w:after="100" w:before="260"/>
      </w:pPr>
      <w:r>
        <w:rPr>
          <w:rFonts w:ascii="Arial" w:cs="Arial" w:eastAsia="Arial" w:hAnsi="Arial"/>
          <w:b/>
          <w:bCs/>
          <w:color w:val="1B4F8A"/>
          <w:sz w:val="25"/>
          <w:szCs w:val="25"/>
        </w:rPr>
        <w:t xml:space="preserve">3.2  What Will NOT Be Built (Explicit Out-of-Scope)</w:t>
      </w:r>
    </w:p>
    <w:p>
      <w:pPr>
        <w:pStyle w:val="ListParagraph"/>
        <w:numPr>
          <w:ilvl w:val="0"/>
          <w:numId w:val="2"/>
        </w:numPr>
        <w:spacing w:after="45" w:before="45"/>
      </w:pPr>
      <w:r>
        <w:rPr>
          <w:rFonts w:ascii="Arial" w:cs="Arial" w:eastAsia="Arial" w:hAnsi="Arial"/>
          <w:b w:val="false"/>
          <w:bCs w:val="false"/>
          <w:color w:val="1E293B"/>
          <w:sz w:val="21"/>
          <w:szCs w:val="21"/>
        </w:rPr>
        <w:t xml:space="preserve">Real-time webhook streaming ingestion — batch ingestion on a scheduled interval is sufficient for demo.</w:t>
      </w:r>
    </w:p>
    <w:p>
      <w:pPr>
        <w:pStyle w:val="ListParagraph"/>
        <w:numPr>
          <w:ilvl w:val="0"/>
          <w:numId w:val="2"/>
        </w:numPr>
        <w:spacing w:after="45" w:before="45"/>
      </w:pPr>
      <w:r>
        <w:rPr>
          <w:rFonts w:ascii="Arial" w:cs="Arial" w:eastAsia="Arial" w:hAnsi="Arial"/>
          <w:b w:val="false"/>
          <w:bCs w:val="false"/>
          <w:color w:val="1E293B"/>
          <w:sz w:val="21"/>
          <w:szCs w:val="21"/>
        </w:rPr>
        <w:t xml:space="preserve">Full graph-database organizational context layer — lightweight metadata relationship tagging replaces it.</w:t>
      </w:r>
    </w:p>
    <w:p>
      <w:pPr>
        <w:pStyle w:val="ListParagraph"/>
        <w:numPr>
          <w:ilvl w:val="0"/>
          <w:numId w:val="2"/>
        </w:numPr>
        <w:spacing w:after="45" w:before="45"/>
      </w:pPr>
      <w:r>
        <w:rPr>
          <w:rFonts w:ascii="Arial" w:cs="Arial" w:eastAsia="Arial" w:hAnsi="Arial"/>
          <w:b w:val="false"/>
          <w:bCs w:val="false"/>
          <w:color w:val="1E293B"/>
          <w:sz w:val="21"/>
          <w:szCs w:val="21"/>
        </w:rPr>
        <w:t xml:space="preserve">Enterprise SSO / identity provider federation — simulated user identity for demo purposes.</w:t>
      </w:r>
    </w:p>
    <w:p>
      <w:pPr>
        <w:pStyle w:val="ListParagraph"/>
        <w:numPr>
          <w:ilvl w:val="0"/>
          <w:numId w:val="2"/>
        </w:numPr>
        <w:spacing w:after="45" w:before="45"/>
      </w:pPr>
      <w:r>
        <w:rPr>
          <w:rFonts w:ascii="Arial" w:cs="Arial" w:eastAsia="Arial" w:hAnsi="Arial"/>
          <w:b w:val="false"/>
          <w:bCs w:val="false"/>
          <w:color w:val="1E293B"/>
          <w:sz w:val="21"/>
          <w:szCs w:val="21"/>
        </w:rPr>
        <w:t xml:space="preserve">Mobile application — web interface only.</w:t>
      </w:r>
    </w:p>
    <w:p>
      <w:pPr>
        <w:pStyle w:val="ListParagraph"/>
        <w:numPr>
          <w:ilvl w:val="0"/>
          <w:numId w:val="2"/>
        </w:numPr>
        <w:spacing w:after="45" w:before="45"/>
      </w:pPr>
      <w:r>
        <w:rPr>
          <w:rFonts w:ascii="Arial" w:cs="Arial" w:eastAsia="Arial" w:hAnsi="Arial"/>
          <w:b w:val="false"/>
          <w:bCs w:val="false"/>
          <w:color w:val="1E293B"/>
          <w:sz w:val="21"/>
          <w:szCs w:val="21"/>
        </w:rPr>
        <w:t xml:space="preserve">Connector SDK for third-party developers — post-hackathon roadmap item.</w:t>
      </w:r>
    </w:p>
    <w:p>
      <w:pPr>
        <w:pStyle w:val="ListParagraph"/>
        <w:numPr>
          <w:ilvl w:val="0"/>
          <w:numId w:val="2"/>
        </w:numPr>
        <w:spacing w:after="45" w:before="45"/>
      </w:pPr>
      <w:r>
        <w:rPr>
          <w:rFonts w:ascii="Arial" w:cs="Arial" w:eastAsia="Arial" w:hAnsi="Arial"/>
          <w:b w:val="false"/>
          <w:bCs w:val="false"/>
          <w:color w:val="1E293B"/>
          <w:sz w:val="21"/>
          <w:szCs w:val="21"/>
        </w:rPr>
        <w:t xml:space="preserve">Slack connector — intentionally excluded from MVP; the 5 connectors built provide full coverage for all demo scenarios.</w:t>
      </w:r>
    </w:p>
    <w:p>
      <w:pPr>
        <w:spacing w:after="70" w:before="0"/>
      </w:pPr>
      <w:r>
        <w:rPr>
          <w:sz w:val="4"/>
          <w:szCs w:val="4"/>
        </w:rPr>
        <w:t xml:space="preserve"/>
      </w:r>
    </w:p>
    <w:p>
      <w:pPr>
        <w:pStyle w:val="Heading1"/>
        <w:pBdr>
          <w:bottom w:val="single" w:color="2563EB" w:sz="12" w:space="5"/>
        </w:pBdr>
        <w:spacing w:after="160" w:before="400"/>
      </w:pPr>
      <w:r>
        <w:rPr>
          <w:rFonts w:ascii="Arial" w:cs="Arial" w:eastAsia="Arial" w:hAnsi="Arial"/>
          <w:b/>
          <w:bCs/>
          <w:color w:val="0D1B2A"/>
          <w:sz w:val="34"/>
          <w:szCs w:val="34"/>
        </w:rPr>
        <w:t xml:space="preserve">4. Must-Have vs. Nice-to-Have Features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936"/>
        <w:gridCol w:w="3960"/>
        <w:gridCol w:w="2664"/>
      </w:tblGrid>
      <w:tr>
        <w:tc>
          <w:tcPr>
            <w:tcW w:type="dxa" w:w="252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Feature</w:t>
            </w:r>
          </w:p>
        </w:tc>
        <w:tc>
          <w:tcPr>
            <w:tcW w:type="dxa" w:w="936"/>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Priority</w:t>
            </w:r>
          </w:p>
        </w:tc>
        <w:tc>
          <w:tcPr>
            <w:tcW w:type="dxa" w:w="396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Why It Matters for Judges &amp; Users</w:t>
            </w:r>
          </w:p>
        </w:tc>
        <w:tc>
          <w:tcPr>
            <w:tcW w:type="dxa" w:w="2664"/>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Build Window</w:t>
            </w:r>
          </w:p>
        </w:tc>
      </w:tr>
      <w:tr>
        <w:tc>
          <w:tcPr>
            <w:tcW w:type="dxa" w:w="10080"/>
            <w:tcBorders>
              <w:top w:val="none" w:color="FFFFFF" w:sz="0"/>
              <w:left w:val="none" w:color="FFFFFF" w:sz="0"/>
              <w:bottom w:val="none" w:color="FFFFFF" w:sz="0"/>
              <w:right w:val="none" w:color="FFFFFF" w:sz="0"/>
            </w:tcBorders>
            <w:shd w:fill="0D1B2A" w:val="clear"/>
            <w:tcMar>
              <w:top w:type="dxa" w:w="70"/>
              <w:left w:type="dxa" w:w="130"/>
              <w:bottom w:type="dxa" w:w="70"/>
              <w:right w:type="dxa" w:w="130"/>
            </w:tcMar>
          </w:tcPr>
          <w:p>
            <w:r>
              <w:rPr>
                <w:rFonts w:ascii="Arial" w:cs="Arial" w:eastAsia="Arial" w:hAnsi="Arial"/>
                <w:b/>
                <w:bCs/>
                <w:color w:val="FFFFFF"/>
                <w:sz w:val="20"/>
                <w:szCs w:val="20"/>
              </w:rPr>
              <w:t xml:space="preserve">MUST-HAVE  —  Non-negotiable for demo credibility</w:t>
            </w:r>
          </w:p>
        </w:tc>
      </w:tr>
      <w:tr>
        <w:tc>
          <w:tcPr>
            <w:tcW w:type="dxa" w:w="25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pPr>
              <w:jc w:val="left"/>
            </w:pPr>
            <w:r>
              <w:rPr>
                <w:rFonts w:ascii="Arial" w:cs="Arial" w:eastAsia="Arial" w:hAnsi="Arial"/>
                <w:b/>
                <w:bCs/>
                <w:color w:val="1B4F8A"/>
                <w:sz w:val="20"/>
                <w:szCs w:val="20"/>
              </w:rPr>
              <w:t xml:space="preserve">GitHub Connector</w:t>
            </w:r>
          </w:p>
        </w:tc>
        <w:tc>
          <w:tcPr>
            <w:tcW w:type="dxa" w:w="936"/>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center"/>
            </w:pPr>
            <w:r>
              <w:rPr>
                <w:rFonts w:ascii="Arial" w:cs="Arial" w:eastAsia="Arial" w:hAnsi="Arial"/>
                <w:b/>
                <w:bCs/>
                <w:color w:val="065F46"/>
                <w:sz w:val="20"/>
                <w:szCs w:val="20"/>
              </w:rPr>
              <w:t xml:space="preserve">MUST</w:t>
            </w:r>
          </w:p>
        </w:tc>
        <w:tc>
          <w:tcPr>
            <w:tcW w:type="dxa" w:w="3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Richest architectural decision history in any tech org. Without it, the engineering persona demo fails entirely.</w:t>
            </w:r>
          </w:p>
        </w:tc>
        <w:tc>
          <w:tcPr>
            <w:tcW w:type="dxa" w:w="2664"/>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center"/>
            </w:pPr>
            <w:r>
              <w:rPr>
                <w:rFonts w:ascii="Arial" w:cs="Arial" w:eastAsia="Arial" w:hAnsi="Arial"/>
                <w:b/>
                <w:bCs/>
                <w:color w:val="065F46"/>
                <w:sz w:val="20"/>
                <w:szCs w:val="20"/>
              </w:rPr>
              <w:t xml:space="preserve">COMPLETE</w:t>
            </w:r>
          </w:p>
        </w:tc>
      </w:tr>
      <w:tr>
        <w:tc>
          <w:tcPr>
            <w:tcW w:type="dxa" w:w="25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pPr>
              <w:jc w:val="left"/>
            </w:pPr>
            <w:r>
              <w:rPr>
                <w:rFonts w:ascii="Arial" w:cs="Arial" w:eastAsia="Arial" w:hAnsi="Arial"/>
                <w:b/>
                <w:bCs/>
                <w:color w:val="1B4F8A"/>
                <w:sz w:val="20"/>
                <w:szCs w:val="20"/>
              </w:rPr>
              <w:t xml:space="preserve">Gmail + Drive + Notion</w:t>
            </w:r>
          </w:p>
        </w:tc>
        <w:tc>
          <w:tcPr>
            <w:tcW w:type="dxa" w:w="936"/>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center"/>
            </w:pPr>
            <w:r>
              <w:rPr>
                <w:rFonts w:ascii="Arial" w:cs="Arial" w:eastAsia="Arial" w:hAnsi="Arial"/>
                <w:b/>
                <w:bCs/>
                <w:color w:val="065F46"/>
                <w:sz w:val="20"/>
                <w:szCs w:val="20"/>
              </w:rPr>
              <w:t xml:space="preserve">MUST</w:t>
            </w:r>
          </w:p>
        </w:tc>
        <w:tc>
          <w:tcPr>
            <w:tcW w:type="dxa" w:w="3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Essential for executive and PM personas. Long-form documents and email threads contain irreplaceable decision context.</w:t>
            </w:r>
          </w:p>
        </w:tc>
        <w:tc>
          <w:tcPr>
            <w:tcW w:type="dxa" w:w="2664"/>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center"/>
            </w:pPr>
            <w:r>
              <w:rPr>
                <w:rFonts w:ascii="Arial" w:cs="Arial" w:eastAsia="Arial" w:hAnsi="Arial"/>
                <w:b/>
                <w:bCs/>
                <w:color w:val="065F46"/>
                <w:sz w:val="20"/>
                <w:szCs w:val="20"/>
              </w:rPr>
              <w:t xml:space="preserve">COMPLETE</w:t>
            </w:r>
          </w:p>
        </w:tc>
      </w:tr>
      <w:tr>
        <w:tc>
          <w:tcPr>
            <w:tcW w:type="dxa" w:w="25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pPr>
              <w:jc w:val="left"/>
            </w:pPr>
            <w:r>
              <w:rPr>
                <w:rFonts w:ascii="Arial" w:cs="Arial" w:eastAsia="Arial" w:hAnsi="Arial"/>
                <w:b/>
                <w:bCs/>
                <w:color w:val="1B4F8A"/>
                <w:sz w:val="20"/>
                <w:szCs w:val="20"/>
              </w:rPr>
              <w:t xml:space="preserve">Embedding &amp; Retrieval Pipeline</w:t>
            </w:r>
          </w:p>
        </w:tc>
        <w:tc>
          <w:tcPr>
            <w:tcW w:type="dxa" w:w="936"/>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center"/>
            </w:pPr>
            <w:r>
              <w:rPr>
                <w:rFonts w:ascii="Arial" w:cs="Arial" w:eastAsia="Arial" w:hAnsi="Arial"/>
                <w:b/>
                <w:bCs/>
                <w:color w:val="065F46"/>
                <w:sz w:val="20"/>
                <w:szCs w:val="20"/>
              </w:rPr>
              <w:t xml:space="preserve">MUST</w:t>
            </w:r>
          </w:p>
        </w:tc>
        <w:tc>
          <w:tcPr>
            <w:tcW w:type="dxa" w:w="3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The foundation of everything. Without high-quality semantic retrieval, every other feature is meaningless.</w:t>
            </w:r>
          </w:p>
        </w:tc>
        <w:tc>
          <w:tcPr>
            <w:tcW w:type="dxa" w:w="2664"/>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center"/>
            </w:pPr>
            <w:r>
              <w:rPr>
                <w:rFonts w:ascii="Arial" w:cs="Arial" w:eastAsia="Arial" w:hAnsi="Arial"/>
                <w:b/>
                <w:bCs/>
                <w:color w:val="065F46"/>
                <w:sz w:val="20"/>
                <w:szCs w:val="20"/>
              </w:rPr>
              <w:t xml:space="preserve">COMPLETE</w:t>
            </w:r>
          </w:p>
        </w:tc>
      </w:tr>
      <w:tr>
        <w:tc>
          <w:tcPr>
            <w:tcW w:type="dxa" w:w="25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pPr>
              <w:jc w:val="left"/>
            </w:pPr>
            <w:r>
              <w:rPr>
                <w:rFonts w:ascii="Arial" w:cs="Arial" w:eastAsia="Arial" w:hAnsi="Arial"/>
                <w:b/>
                <w:bCs/>
                <w:color w:val="1B4F8A"/>
                <w:sz w:val="20"/>
                <w:szCs w:val="20"/>
              </w:rPr>
              <w:t xml:space="preserve">Permission-Aware Retrieval</w:t>
            </w:r>
          </w:p>
        </w:tc>
        <w:tc>
          <w:tcPr>
            <w:tcW w:type="dxa" w:w="936"/>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center"/>
            </w:pPr>
            <w:r>
              <w:rPr>
                <w:rFonts w:ascii="Arial" w:cs="Arial" w:eastAsia="Arial" w:hAnsi="Arial"/>
                <w:b/>
                <w:bCs/>
                <w:color w:val="065F46"/>
                <w:sz w:val="20"/>
                <w:szCs w:val="20"/>
              </w:rPr>
              <w:t xml:space="preserve">MUST</w:t>
            </w:r>
          </w:p>
        </w:tc>
        <w:tc>
          <w:tcPr>
            <w:tcW w:type="dxa" w:w="3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Non-negotiable for enterprise trust. Demonstrates architectural maturity. Shows judges this is production-grade, not a prototype.</w:t>
            </w:r>
          </w:p>
        </w:tc>
        <w:tc>
          <w:tcPr>
            <w:tcW w:type="dxa" w:w="2664"/>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center"/>
            </w:pPr>
            <w:r>
              <w:rPr>
                <w:rFonts w:ascii="Arial" w:cs="Arial" w:eastAsia="Arial" w:hAnsi="Arial"/>
                <w:b/>
                <w:bCs/>
                <w:color w:val="78350F"/>
                <w:sz w:val="20"/>
                <w:szCs w:val="20"/>
              </w:rPr>
              <w:t xml:space="preserve">Day 4</w:t>
            </w:r>
          </w:p>
        </w:tc>
      </w:tr>
      <w:tr>
        <w:tc>
          <w:tcPr>
            <w:tcW w:type="dxa" w:w="25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pPr>
              <w:jc w:val="left"/>
            </w:pPr>
            <w:r>
              <w:rPr>
                <w:rFonts w:ascii="Arial" w:cs="Arial" w:eastAsia="Arial" w:hAnsi="Arial"/>
                <w:b/>
                <w:bCs/>
                <w:color w:val="1B4F8A"/>
                <w:sz w:val="20"/>
                <w:szCs w:val="20"/>
              </w:rPr>
              <w:t xml:space="preserve">Citation System</w:t>
            </w:r>
          </w:p>
        </w:tc>
        <w:tc>
          <w:tcPr>
            <w:tcW w:type="dxa" w:w="936"/>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center"/>
            </w:pPr>
            <w:r>
              <w:rPr>
                <w:rFonts w:ascii="Arial" w:cs="Arial" w:eastAsia="Arial" w:hAnsi="Arial"/>
                <w:b/>
                <w:bCs/>
                <w:color w:val="065F46"/>
                <w:sz w:val="20"/>
                <w:szCs w:val="20"/>
              </w:rPr>
              <w:t xml:space="preserve">MUST</w:t>
            </w:r>
          </w:p>
        </w:tc>
        <w:tc>
          <w:tcPr>
            <w:tcW w:type="dxa" w:w="3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Differentiates from generic chatbot. Every claim traceable. Critical for judge credibility and user trust.</w:t>
            </w:r>
          </w:p>
        </w:tc>
        <w:tc>
          <w:tcPr>
            <w:tcW w:type="dxa" w:w="2664"/>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center"/>
            </w:pPr>
            <w:r>
              <w:rPr>
                <w:rFonts w:ascii="Arial" w:cs="Arial" w:eastAsia="Arial" w:hAnsi="Arial"/>
                <w:b/>
                <w:bCs/>
                <w:color w:val="78350F"/>
                <w:sz w:val="20"/>
                <w:szCs w:val="20"/>
              </w:rPr>
              <w:t xml:space="preserve">Day 4</w:t>
            </w:r>
          </w:p>
        </w:tc>
      </w:tr>
      <w:tr>
        <w:tc>
          <w:tcPr>
            <w:tcW w:type="dxa" w:w="25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pPr>
              <w:jc w:val="left"/>
            </w:pPr>
            <w:r>
              <w:rPr>
                <w:rFonts w:ascii="Arial" w:cs="Arial" w:eastAsia="Arial" w:hAnsi="Arial"/>
                <w:b/>
                <w:bCs/>
                <w:color w:val="1B4F8A"/>
                <w:sz w:val="20"/>
                <w:szCs w:val="20"/>
              </w:rPr>
              <w:t xml:space="preserve">Temporal Confidence Scoring</w:t>
            </w:r>
          </w:p>
        </w:tc>
        <w:tc>
          <w:tcPr>
            <w:tcW w:type="dxa" w:w="936"/>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center"/>
            </w:pPr>
            <w:r>
              <w:rPr>
                <w:rFonts w:ascii="Arial" w:cs="Arial" w:eastAsia="Arial" w:hAnsi="Arial"/>
                <w:b/>
                <w:bCs/>
                <w:color w:val="065F46"/>
                <w:sz w:val="20"/>
                <w:szCs w:val="20"/>
              </w:rPr>
              <w:t xml:space="preserve">MUST</w:t>
            </w:r>
          </w:p>
        </w:tc>
        <w:tc>
          <w:tcPr>
            <w:tcW w:type="dxa" w:w="3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The primary technical differentiator. No competitor has this. Makes the "memory" narrative concrete and demonstrable.</w:t>
            </w:r>
          </w:p>
        </w:tc>
        <w:tc>
          <w:tcPr>
            <w:tcW w:type="dxa" w:w="2664"/>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center"/>
            </w:pPr>
            <w:r>
              <w:rPr>
                <w:rFonts w:ascii="Arial" w:cs="Arial" w:eastAsia="Arial" w:hAnsi="Arial"/>
                <w:b/>
                <w:bCs/>
                <w:color w:val="78350F"/>
                <w:sz w:val="20"/>
                <w:szCs w:val="20"/>
              </w:rPr>
              <w:t xml:space="preserve">Day 4</w:t>
            </w:r>
          </w:p>
        </w:tc>
      </w:tr>
      <w:tr>
        <w:tc>
          <w:tcPr>
            <w:tcW w:type="dxa" w:w="25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pPr>
              <w:jc w:val="left"/>
            </w:pPr>
            <w:r>
              <w:rPr>
                <w:rFonts w:ascii="Arial" w:cs="Arial" w:eastAsia="Arial" w:hAnsi="Arial"/>
                <w:b/>
                <w:bCs/>
                <w:color w:val="1B4F8A"/>
                <w:sz w:val="20"/>
                <w:szCs w:val="20"/>
              </w:rPr>
              <w:t xml:space="preserve">Decision Reconstruction</w:t>
            </w:r>
          </w:p>
        </w:tc>
        <w:tc>
          <w:tcPr>
            <w:tcW w:type="dxa" w:w="936"/>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center"/>
            </w:pPr>
            <w:r>
              <w:rPr>
                <w:rFonts w:ascii="Arial" w:cs="Arial" w:eastAsia="Arial" w:hAnsi="Arial"/>
                <w:b/>
                <w:bCs/>
                <w:color w:val="065F46"/>
                <w:sz w:val="20"/>
                <w:szCs w:val="20"/>
              </w:rPr>
              <w:t xml:space="preserve">MUST</w:t>
            </w:r>
          </w:p>
        </w:tc>
        <w:tc>
          <w:tcPr>
            <w:tcW w:type="dxa" w:w="3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The highest-impact demo moment. Synthesizes multiple sources into one cited answer. No existing tool can do this.</w:t>
            </w:r>
          </w:p>
        </w:tc>
        <w:tc>
          <w:tcPr>
            <w:tcW w:type="dxa" w:w="2664"/>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center"/>
            </w:pPr>
            <w:r>
              <w:rPr>
                <w:rFonts w:ascii="Arial" w:cs="Arial" w:eastAsia="Arial" w:hAnsi="Arial"/>
                <w:b/>
                <w:bCs/>
                <w:color w:val="78350F"/>
                <w:sz w:val="20"/>
                <w:szCs w:val="20"/>
              </w:rPr>
              <w:t xml:space="preserve">Day 4–5</w:t>
            </w:r>
          </w:p>
        </w:tc>
      </w:tr>
      <w:tr>
        <w:tc>
          <w:tcPr>
            <w:tcW w:type="dxa" w:w="25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pPr>
              <w:jc w:val="left"/>
            </w:pPr>
            <w:r>
              <w:rPr>
                <w:rFonts w:ascii="Arial" w:cs="Arial" w:eastAsia="Arial" w:hAnsi="Arial"/>
                <w:b/>
                <w:bCs/>
                <w:color w:val="1B4F8A"/>
                <w:sz w:val="20"/>
                <w:szCs w:val="20"/>
              </w:rPr>
              <w:t xml:space="preserve">Query UI</w:t>
            </w:r>
          </w:p>
        </w:tc>
        <w:tc>
          <w:tcPr>
            <w:tcW w:type="dxa" w:w="936"/>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center"/>
            </w:pPr>
            <w:r>
              <w:rPr>
                <w:rFonts w:ascii="Arial" w:cs="Arial" w:eastAsia="Arial" w:hAnsi="Arial"/>
                <w:b/>
                <w:bCs/>
                <w:color w:val="065F46"/>
                <w:sz w:val="20"/>
                <w:szCs w:val="20"/>
              </w:rPr>
              <w:t xml:space="preserve">MUST</w:t>
            </w:r>
          </w:p>
        </w:tc>
        <w:tc>
          <w:tcPr>
            <w:tcW w:type="dxa" w:w="3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Required for demo. Must be clean, professional, and visually communicate the product's quality bar.</w:t>
            </w:r>
          </w:p>
        </w:tc>
        <w:tc>
          <w:tcPr>
            <w:tcW w:type="dxa" w:w="2664"/>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center"/>
            </w:pPr>
            <w:r>
              <w:rPr>
                <w:rFonts w:ascii="Arial" w:cs="Arial" w:eastAsia="Arial" w:hAnsi="Arial"/>
                <w:b/>
                <w:bCs/>
                <w:color w:val="2563EB"/>
                <w:sz w:val="20"/>
                <w:szCs w:val="20"/>
              </w:rPr>
              <w:t xml:space="preserve">Day 5–6</w:t>
            </w:r>
          </w:p>
        </w:tc>
      </w:tr>
      <w:tr>
        <w:tc>
          <w:tcPr>
            <w:tcW w:type="dxa" w:w="10080"/>
            <w:tcBorders>
              <w:top w:val="none" w:color="FFFFFF" w:sz="0"/>
              <w:left w:val="none" w:color="FFFFFF" w:sz="0"/>
              <w:bottom w:val="none" w:color="FFFFFF" w:sz="0"/>
              <w:right w:val="none" w:color="FFFFFF" w:sz="0"/>
            </w:tcBorders>
            <w:shd w:fill="0F766E" w:val="clear"/>
            <w:tcMar>
              <w:top w:type="dxa" w:w="70"/>
              <w:left w:type="dxa" w:w="130"/>
              <w:bottom w:type="dxa" w:w="70"/>
              <w:right w:type="dxa" w:w="130"/>
            </w:tcMar>
          </w:tcPr>
          <w:p>
            <w:r>
              <w:rPr>
                <w:rFonts w:ascii="Arial" w:cs="Arial" w:eastAsia="Arial" w:hAnsi="Arial"/>
                <w:b/>
                <w:bCs/>
                <w:color w:val="FFFFFF"/>
                <w:sz w:val="20"/>
                <w:szCs w:val="20"/>
              </w:rPr>
              <w:t xml:space="preserve">NICE-TO-HAVE  —  Elevating features if time permits</w:t>
            </w:r>
          </w:p>
        </w:tc>
      </w:tr>
      <w:tr>
        <w:tc>
          <w:tcPr>
            <w:tcW w:type="dxa" w:w="25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pPr>
              <w:jc w:val="left"/>
            </w:pPr>
            <w:r>
              <w:rPr>
                <w:rFonts w:ascii="Arial" w:cs="Arial" w:eastAsia="Arial" w:hAnsi="Arial"/>
                <w:b/>
                <w:bCs/>
                <w:color w:val="1B4F8A"/>
                <w:sz w:val="20"/>
                <w:szCs w:val="20"/>
              </w:rPr>
              <w:t xml:space="preserve">Knowledge Decay Detection UI</w:t>
            </w:r>
          </w:p>
        </w:tc>
        <w:tc>
          <w:tcPr>
            <w:tcW w:type="dxa" w:w="936"/>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center"/>
            </w:pPr>
            <w:r>
              <w:rPr>
                <w:rFonts w:ascii="Arial" w:cs="Arial" w:eastAsia="Arial" w:hAnsi="Arial"/>
                <w:b/>
                <w:bCs/>
                <w:color w:val="0F766E"/>
                <w:sz w:val="20"/>
                <w:szCs w:val="20"/>
              </w:rPr>
              <w:t xml:space="preserve">NICE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Turns temporal score into a visible warning system. High judge impact if built. Makes the decay problem visceral and real.</w:t>
            </w:r>
          </w:p>
        </w:tc>
        <w:tc>
          <w:tcPr>
            <w:tcW w:type="dxa" w:w="2664"/>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center"/>
            </w:pPr>
            <w:r>
              <w:rPr>
                <w:rFonts w:ascii="Arial" w:cs="Arial" w:eastAsia="Arial" w:hAnsi="Arial"/>
                <w:b w:val="false"/>
                <w:bCs w:val="false"/>
                <w:color w:val="475569"/>
                <w:sz w:val="20"/>
                <w:szCs w:val="20"/>
              </w:rPr>
              <w:t xml:space="preserve">Day 6 if capacity</w:t>
            </w:r>
          </w:p>
        </w:tc>
      </w:tr>
      <w:tr>
        <w:tc>
          <w:tcPr>
            <w:tcW w:type="dxa" w:w="25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pPr>
              <w:jc w:val="left"/>
            </w:pPr>
            <w:r>
              <w:rPr>
                <w:rFonts w:ascii="Arial" w:cs="Arial" w:eastAsia="Arial" w:hAnsi="Arial"/>
                <w:b/>
                <w:bCs/>
                <w:color w:val="1B4F8A"/>
                <w:sz w:val="20"/>
                <w:szCs w:val="20"/>
              </w:rPr>
              <w:t xml:space="preserve">Expertise Graph</w:t>
            </w:r>
          </w:p>
        </w:tc>
        <w:tc>
          <w:tcPr>
            <w:tcW w:type="dxa" w:w="936"/>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center"/>
            </w:pPr>
            <w:r>
              <w:rPr>
                <w:rFonts w:ascii="Arial" w:cs="Arial" w:eastAsia="Arial" w:hAnsi="Arial"/>
                <w:b/>
                <w:bCs/>
                <w:color w:val="0F766E"/>
                <w:sz w:val="20"/>
                <w:szCs w:val="20"/>
              </w:rPr>
              <w:t xml:space="preserve">NICE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Maps people to knowledge domains. Enables "who knows about X" queries. Powerful — but high implementation complexity.</w:t>
            </w:r>
          </w:p>
        </w:tc>
        <w:tc>
          <w:tcPr>
            <w:tcW w:type="dxa" w:w="2664"/>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center"/>
            </w:pPr>
            <w:r>
              <w:rPr>
                <w:rFonts w:ascii="Arial" w:cs="Arial" w:eastAsia="Arial" w:hAnsi="Arial"/>
                <w:b w:val="false"/>
                <w:bCs w:val="false"/>
                <w:color w:val="475569"/>
                <w:sz w:val="20"/>
                <w:szCs w:val="20"/>
              </w:rPr>
              <w:t xml:space="preserve">Post-hackathon</w:t>
            </w:r>
          </w:p>
        </w:tc>
      </w:tr>
      <w:tr>
        <w:tc>
          <w:tcPr>
            <w:tcW w:type="dxa" w:w="25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pPr>
              <w:jc w:val="left"/>
            </w:pPr>
            <w:r>
              <w:rPr>
                <w:rFonts w:ascii="Arial" w:cs="Arial" w:eastAsia="Arial" w:hAnsi="Arial"/>
                <w:b/>
                <w:bCs/>
                <w:color w:val="1B4F8A"/>
                <w:sz w:val="20"/>
                <w:szCs w:val="20"/>
              </w:rPr>
              <w:t xml:space="preserve">Conflict Detection</w:t>
            </w:r>
          </w:p>
        </w:tc>
        <w:tc>
          <w:tcPr>
            <w:tcW w:type="dxa" w:w="936"/>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center"/>
            </w:pPr>
            <w:r>
              <w:rPr>
                <w:rFonts w:ascii="Arial" w:cs="Arial" w:eastAsia="Arial" w:hAnsi="Arial"/>
                <w:b/>
                <w:bCs/>
                <w:color w:val="0F766E"/>
                <w:sz w:val="20"/>
                <w:szCs w:val="20"/>
              </w:rPr>
              <w:t xml:space="preserve">NICE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Flags when two knowledge fragments directly contradict each other across platforms. Valuable for compliance. Complex to build.</w:t>
            </w:r>
          </w:p>
        </w:tc>
        <w:tc>
          <w:tcPr>
            <w:tcW w:type="dxa" w:w="2664"/>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center"/>
            </w:pPr>
            <w:r>
              <w:rPr>
                <w:rFonts w:ascii="Arial" w:cs="Arial" w:eastAsia="Arial" w:hAnsi="Arial"/>
                <w:b w:val="false"/>
                <w:bCs w:val="false"/>
                <w:color w:val="475569"/>
                <w:sz w:val="20"/>
                <w:szCs w:val="20"/>
              </w:rPr>
              <w:t xml:space="preserve">Post-hackathon</w:t>
            </w:r>
          </w:p>
        </w:tc>
      </w:tr>
      <w:tr>
        <w:tc>
          <w:tcPr>
            <w:tcW w:type="dxa" w:w="25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pPr>
              <w:jc w:val="left"/>
            </w:pPr>
            <w:r>
              <w:rPr>
                <w:rFonts w:ascii="Arial" w:cs="Arial" w:eastAsia="Arial" w:hAnsi="Arial"/>
                <w:b/>
                <w:bCs/>
                <w:color w:val="1B4F8A"/>
                <w:sz w:val="20"/>
                <w:szCs w:val="20"/>
              </w:rPr>
              <w:t xml:space="preserve">Multi-User Workspaces</w:t>
            </w:r>
          </w:p>
        </w:tc>
        <w:tc>
          <w:tcPr>
            <w:tcW w:type="dxa" w:w="936"/>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center"/>
            </w:pPr>
            <w:r>
              <w:rPr>
                <w:rFonts w:ascii="Arial" w:cs="Arial" w:eastAsia="Arial" w:hAnsi="Arial"/>
                <w:b/>
                <w:bCs/>
                <w:color w:val="0F766E"/>
                <w:sz w:val="20"/>
                <w:szCs w:val="20"/>
              </w:rPr>
              <w:t xml:space="preserve">NICE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Team-level isolation with shared organizational memory. Essential for commercialization — not required for demo.</w:t>
            </w:r>
          </w:p>
        </w:tc>
        <w:tc>
          <w:tcPr>
            <w:tcW w:type="dxa" w:w="2664"/>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center"/>
            </w:pPr>
            <w:r>
              <w:rPr>
                <w:rFonts w:ascii="Arial" w:cs="Arial" w:eastAsia="Arial" w:hAnsi="Arial"/>
                <w:b w:val="false"/>
                <w:bCs w:val="false"/>
                <w:color w:val="475569"/>
                <w:sz w:val="20"/>
                <w:szCs w:val="20"/>
              </w:rPr>
              <w:t xml:space="preserve">Post-hackathon</w:t>
            </w:r>
          </w:p>
        </w:tc>
      </w:tr>
    </w:tbl>
    <w:p>
      <w:r>
        <w:br w:type="page"/>
      </w:r>
    </w:p>
    <w:p>
      <w:pPr>
        <w:pStyle w:val="Heading1"/>
        <w:pBdr>
          <w:bottom w:val="single" w:color="2563EB" w:sz="12" w:space="5"/>
        </w:pBdr>
        <w:spacing w:after="160" w:before="400"/>
      </w:pPr>
      <w:r>
        <w:rPr>
          <w:rFonts w:ascii="Arial" w:cs="Arial" w:eastAsia="Arial" w:hAnsi="Arial"/>
          <w:b/>
          <w:bCs/>
          <w:color w:val="0D1B2A"/>
          <w:sz w:val="34"/>
          <w:szCs w:val="34"/>
        </w:rPr>
        <w:t xml:space="preserve">5. Clear Execution Plan — Next Few Days</w:t>
      </w:r>
    </w:p>
    <w:p>
      <w:pPr>
        <w:pBdr>
          <w:left w:val="single" w:color="2563EB" w:sz="24" w:space="10"/>
        </w:pBdr>
        <w:shd w:fill="DBEAFE" w:val="clear"/>
        <w:spacing w:after="120" w:before="120"/>
        <w:ind w:left="120"/>
        <w:jc w:val="both"/>
      </w:pPr>
      <w:r>
        <w:rPr>
          <w:rFonts w:ascii="Arial" w:cs="Arial" w:eastAsia="Arial" w:hAnsi="Arial"/>
          <w:b/>
          <w:bCs/>
          <w:i/>
          <w:iCs/>
          <w:color w:val="0D1B2A"/>
          <w:sz w:val="23"/>
          <w:szCs w:val="23"/>
        </w:rPr>
        <w:t xml:space="preserve">Days 1–3 are complete. GitHub, Gmail, Google Drive, and Notion connectors are live. The embedding pipeline is operational. Basic retrieval is working. The remaining days are about intelligence, polish, and demo-readiness.</w:t>
      </w:r>
    </w:p>
    <w:p>
      <w:pPr>
        <w:spacing w:after="70" w:before="0"/>
      </w:pPr>
      <w:r>
        <w:rPr>
          <w:sz w:val="4"/>
          <w:szCs w:val="4"/>
        </w:rPr>
        <w:t xml:space="preserve"/>
      </w:r>
    </w:p>
    <w:p>
      <w:pPr>
        <w:pStyle w:val="Heading2"/>
        <w:spacing w:after="100" w:before="260"/>
      </w:pPr>
      <w:r>
        <w:rPr>
          <w:rFonts w:ascii="Arial" w:cs="Arial" w:eastAsia="Arial" w:hAnsi="Arial"/>
          <w:b/>
          <w:bCs/>
          <w:color w:val="1B4F8A"/>
          <w:sz w:val="25"/>
          <w:szCs w:val="25"/>
        </w:rPr>
        <w:t xml:space="preserve">5.1  Day-by-Day Execution Roadmap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3000"/>
        <w:gridCol w:w="1560"/>
        <w:gridCol w:w="1560"/>
      </w:tblGrid>
      <w:tr>
        <w:tc>
          <w:tcPr>
            <w:tcW w:type="dxa" w:w="72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Day</w:t>
            </w:r>
          </w:p>
        </w:tc>
        <w:tc>
          <w:tcPr>
            <w:tcW w:type="dxa" w:w="324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Core Tasks</w:t>
            </w:r>
          </w:p>
        </w:tc>
        <w:tc>
          <w:tcPr>
            <w:tcW w:type="dxa" w:w="30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Deliverable</w:t>
            </w:r>
          </w:p>
        </w:tc>
        <w:tc>
          <w:tcPr>
            <w:tcW w:type="dxa" w:w="156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Risk</w:t>
            </w:r>
          </w:p>
        </w:tc>
        <w:tc>
          <w:tcPr>
            <w:tcW w:type="dxa" w:w="156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Checkpoint</w:t>
            </w:r>
          </w:p>
        </w:tc>
      </w:tr>
      <w:tr>
        <w:tc>
          <w:tcPr>
            <w:tcW w:type="dxa" w:w="720"/>
            <w:tcBorders>
              <w:top w:val="single" w:color="CBD5E1" w:sz="1"/>
              <w:left w:val="single" w:color="CBD5E1" w:sz="1"/>
              <w:bottom w:val="single" w:color="CBD5E1" w:sz="1"/>
              <w:right w:val="single" w:color="CBD5E1" w:sz="1"/>
            </w:tcBorders>
            <w:shd w:fill="065F46" w:val="clear"/>
            <w:tcMar>
              <w:top w:type="dxa" w:w="80"/>
              <w:left w:type="dxa" w:w="80"/>
              <w:bottom w:type="dxa" w:w="80"/>
              <w:right w:type="dxa" w:w="80"/>
            </w:tcMar>
          </w:tcPr>
          <w:p>
            <w:pPr>
              <w:jc w:val="center"/>
            </w:pPr>
            <w:r>
              <w:rPr>
                <w:rFonts w:ascii="Arial" w:cs="Arial" w:eastAsia="Arial" w:hAnsi="Arial"/>
                <w:b/>
                <w:bCs/>
                <w:color w:val="FFFFFF"/>
                <w:sz w:val="22"/>
                <w:szCs w:val="22"/>
              </w:rPr>
              <w:t xml:space="preserve">1–3</w:t>
            </w:r>
          </w:p>
        </w:tc>
        <w:tc>
          <w:tcPr>
            <w:tcW w:type="dxa" w:w="32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30" w:before="0"/>
            </w:pPr>
            <w:r>
              <w:rPr>
                <w:rFonts w:ascii="Arial" w:cs="Arial" w:eastAsia="Arial" w:hAnsi="Arial"/>
                <w:b/>
                <w:bCs/>
                <w:color w:val="065F46"/>
                <w:sz w:val="20"/>
                <w:szCs w:val="20"/>
              </w:rPr>
              <w:t xml:space="preserve">DONE:</w:t>
            </w:r>
          </w:p>
          <w:p>
            <w:pPr>
              <w:pStyle w:val="ListParagraph"/>
              <w:numPr>
                <w:ilvl w:val="0"/>
                <w:numId w:val="2"/>
              </w:numPr>
              <w:spacing w:after="20" w:before="20"/>
            </w:pPr>
            <w:r>
              <w:rPr>
                <w:rFonts w:ascii="Arial" w:cs="Arial" w:eastAsia="Arial" w:hAnsi="Arial"/>
                <w:sz w:val="19"/>
                <w:szCs w:val="19"/>
              </w:rPr>
              <w:t xml:space="preserve">GitHub connector — PRs, issues, discussions</w:t>
            </w:r>
          </w:p>
          <w:p>
            <w:pPr>
              <w:pStyle w:val="ListParagraph"/>
              <w:numPr>
                <w:ilvl w:val="0"/>
                <w:numId w:val="2"/>
              </w:numPr>
              <w:spacing w:after="20" w:before="20"/>
            </w:pPr>
            <w:r>
              <w:rPr>
                <w:rFonts w:ascii="Arial" w:cs="Arial" w:eastAsia="Arial" w:hAnsi="Arial"/>
                <w:sz w:val="19"/>
                <w:szCs w:val="19"/>
              </w:rPr>
              <w:t xml:space="preserve">Gmail connector — threads, metadata</w:t>
            </w:r>
          </w:p>
          <w:p>
            <w:pPr>
              <w:pStyle w:val="ListParagraph"/>
              <w:numPr>
                <w:ilvl w:val="0"/>
                <w:numId w:val="2"/>
              </w:numPr>
              <w:spacing w:after="20" w:before="20"/>
            </w:pPr>
            <w:r>
              <w:rPr>
                <w:rFonts w:ascii="Arial" w:cs="Arial" w:eastAsia="Arial" w:hAnsi="Arial"/>
                <w:sz w:val="19"/>
                <w:szCs w:val="19"/>
              </w:rPr>
              <w:t xml:space="preserve">Google Drive connector — Docs, PDFs</w:t>
            </w:r>
          </w:p>
          <w:p>
            <w:pPr>
              <w:pStyle w:val="ListParagraph"/>
              <w:numPr>
                <w:ilvl w:val="0"/>
                <w:numId w:val="2"/>
              </w:numPr>
              <w:spacing w:after="20" w:before="20"/>
            </w:pPr>
            <w:r>
              <w:rPr>
                <w:rFonts w:ascii="Arial" w:cs="Arial" w:eastAsia="Arial" w:hAnsi="Arial"/>
                <w:sz w:val="19"/>
                <w:szCs w:val="19"/>
              </w:rPr>
              <w:t xml:space="preserve">Notion connector — pages, databases</w:t>
            </w:r>
          </w:p>
          <w:p>
            <w:pPr>
              <w:pStyle w:val="ListParagraph"/>
              <w:numPr>
                <w:ilvl w:val="0"/>
                <w:numId w:val="2"/>
              </w:numPr>
              <w:spacing w:after="20" w:before="20"/>
            </w:pPr>
            <w:r>
              <w:rPr>
                <w:rFonts w:ascii="Arial" w:cs="Arial" w:eastAsia="Arial" w:hAnsi="Arial"/>
                <w:sz w:val="19"/>
                <w:szCs w:val="19"/>
              </w:rPr>
              <w:t xml:space="preserve">Embedding pipeline (text-embedding-3-large)</w:t>
            </w:r>
          </w:p>
          <w:p>
            <w:pPr>
              <w:pStyle w:val="ListParagraph"/>
              <w:numPr>
                <w:ilvl w:val="0"/>
                <w:numId w:val="2"/>
              </w:numPr>
              <w:spacing w:after="20" w:before="20"/>
            </w:pPr>
            <w:r>
              <w:rPr>
                <w:rFonts w:ascii="Arial" w:cs="Arial" w:eastAsia="Arial" w:hAnsi="Arial"/>
                <w:sz w:val="19"/>
                <w:szCs w:val="19"/>
              </w:rPr>
              <w:t xml:space="preserve">Basic semantic retrieval operational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4 connectors live. Vector DB indexed. Query returns semantically relevant results.</w:t>
            </w:r>
          </w:p>
        </w:tc>
        <w:tc>
          <w:tcPr>
            <w:tcW w:type="dxa" w:w="1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OAuth complexity</w:t>
            </w:r>
          </w:p>
        </w:tc>
        <w:tc>
          <w:tcPr>
            <w:tcW w:type="dxa" w:w="1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bCs/>
                <w:color w:val="065F46"/>
                <w:sz w:val="20"/>
                <w:szCs w:val="20"/>
              </w:rPr>
              <w:t xml:space="preserve">All 4 connectors ingesting. Query returns relevant results.</w:t>
            </w:r>
          </w:p>
        </w:tc>
      </w:tr>
      <w:tr>
        <w:tc>
          <w:tcPr>
            <w:tcW w:type="dxa" w:w="720"/>
            <w:tcBorders>
              <w:top w:val="single" w:color="CBD5E1" w:sz="1"/>
              <w:left w:val="single" w:color="CBD5E1" w:sz="1"/>
              <w:bottom w:val="single" w:color="CBD5E1" w:sz="1"/>
              <w:right w:val="single" w:color="CBD5E1" w:sz="1"/>
            </w:tcBorders>
            <w:shd w:fill="1B4F8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4</w:t>
            </w:r>
          </w:p>
        </w:tc>
        <w:tc>
          <w:tcPr>
            <w:tcW w:type="dxa" w:w="32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pStyle w:val="ListParagraph"/>
              <w:numPr>
                <w:ilvl w:val="0"/>
                <w:numId w:val="2"/>
              </w:numPr>
              <w:spacing w:after="20" w:before="20"/>
            </w:pPr>
            <w:r>
              <w:rPr>
                <w:rFonts w:ascii="Arial" w:cs="Arial" w:eastAsia="Arial" w:hAnsi="Arial"/>
                <w:sz w:val="19"/>
                <w:szCs w:val="19"/>
              </w:rPr>
              <w:t xml:space="preserve">Build permission-aware retrieval layer (metadata filter at query time)</w:t>
            </w:r>
          </w:p>
          <w:p>
            <w:pPr>
              <w:pStyle w:val="ListParagraph"/>
              <w:numPr>
                <w:ilvl w:val="0"/>
                <w:numId w:val="2"/>
              </w:numPr>
              <w:spacing w:after="20" w:before="20"/>
            </w:pPr>
            <w:r>
              <w:rPr>
                <w:rFonts w:ascii="Arial" w:cs="Arial" w:eastAsia="Arial" w:hAnsi="Arial"/>
                <w:sz w:val="19"/>
                <w:szCs w:val="19"/>
              </w:rPr>
              <w:t xml:space="preserve">Implement citation extraction via GPT-4o function calling</w:t>
            </w:r>
          </w:p>
          <w:p>
            <w:pPr>
              <w:pStyle w:val="ListParagraph"/>
              <w:numPr>
                <w:ilvl w:val="0"/>
                <w:numId w:val="2"/>
              </w:numPr>
              <w:spacing w:after="20" w:before="20"/>
            </w:pPr>
            <w:r>
              <w:rPr>
                <w:rFonts w:ascii="Arial" w:cs="Arial" w:eastAsia="Arial" w:hAnsi="Arial"/>
                <w:sz w:val="19"/>
                <w:szCs w:val="19"/>
              </w:rPr>
              <w:t xml:space="preserve">Build temporal confidence decay model (age + volatility + deprecation markers)</w:t>
            </w:r>
          </w:p>
          <w:p>
            <w:pPr>
              <w:pStyle w:val="ListParagraph"/>
              <w:numPr>
                <w:ilvl w:val="0"/>
                <w:numId w:val="2"/>
              </w:numPr>
              <w:spacing w:after="20" w:before="20"/>
            </w:pPr>
            <w:r>
              <w:rPr>
                <w:rFonts w:ascii="Arial" w:cs="Arial" w:eastAsia="Arial" w:hAnsi="Arial"/>
                <w:sz w:val="19"/>
                <w:szCs w:val="19"/>
              </w:rPr>
              <w:t xml:space="preserve">Implement decision reconstruction query handler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Permission gate live. Citations return correctly. Temporal score applied to every result. Decision query synthesizes multi-source response.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Citation hallucination. Permission edge cases.</w:t>
            </w:r>
          </w:p>
        </w:tc>
        <w:tc>
          <w:tcPr>
            <w:tcW w:type="dxa" w:w="1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bCs/>
                <w:color w:val="2563EB"/>
                <w:sz w:val="20"/>
                <w:szCs w:val="20"/>
              </w:rPr>
              <w:t xml:space="preserve">Permission-filtered, cited response returns correctly for all 3 demo personas.</w:t>
            </w:r>
          </w:p>
        </w:tc>
      </w:tr>
      <w:tr>
        <w:tc>
          <w:tcPr>
            <w:tcW w:type="dxa" w:w="720"/>
            <w:tcBorders>
              <w:top w:val="single" w:color="CBD5E1" w:sz="1"/>
              <w:left w:val="single" w:color="CBD5E1" w:sz="1"/>
              <w:bottom w:val="single" w:color="CBD5E1" w:sz="1"/>
              <w:right w:val="single" w:color="CBD5E1" w:sz="1"/>
            </w:tcBorders>
            <w:shd w:fill="1B4F8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5</w:t>
            </w:r>
          </w:p>
        </w:tc>
        <w:tc>
          <w:tcPr>
            <w:tcW w:type="dxa" w:w="32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pStyle w:val="ListParagraph"/>
              <w:numPr>
                <w:ilvl w:val="0"/>
                <w:numId w:val="2"/>
              </w:numPr>
              <w:spacing w:after="20" w:before="20"/>
            </w:pPr>
            <w:r>
              <w:rPr>
                <w:rFonts w:ascii="Arial" w:cs="Arial" w:eastAsia="Arial" w:hAnsi="Arial"/>
                <w:sz w:val="19"/>
                <w:szCs w:val="19"/>
              </w:rPr>
              <w:t xml:space="preserve">Build and polish query UI (Next.js + Tailwind) with streaming response</w:t>
            </w:r>
          </w:p>
          <w:p>
            <w:pPr>
              <w:pStyle w:val="ListParagraph"/>
              <w:numPr>
                <w:ilvl w:val="0"/>
                <w:numId w:val="2"/>
              </w:numPr>
              <w:spacing w:after="20" w:before="20"/>
            </w:pPr>
            <w:r>
              <w:rPr>
                <w:rFonts w:ascii="Arial" w:cs="Arial" w:eastAsia="Arial" w:hAnsi="Arial"/>
                <w:sz w:val="19"/>
                <w:szCs w:val="19"/>
              </w:rPr>
              <w:t xml:space="preserve">Build citation panel — source links, author badges, confidence indicators</w:t>
            </w:r>
          </w:p>
          <w:p>
            <w:pPr>
              <w:pStyle w:val="ListParagraph"/>
              <w:numPr>
                <w:ilvl w:val="0"/>
                <w:numId w:val="2"/>
              </w:numPr>
              <w:spacing w:after="20" w:before="20"/>
            </w:pPr>
            <w:r>
              <w:rPr>
                <w:rFonts w:ascii="Arial" w:cs="Arial" w:eastAsia="Arial" w:hAnsi="Arial"/>
                <w:sz w:val="19"/>
                <w:szCs w:val="19"/>
              </w:rPr>
              <w:t xml:space="preserve">Curate and load demo seed dataset for all 3 scenarios</w:t>
            </w:r>
          </w:p>
          <w:p>
            <w:pPr>
              <w:pStyle w:val="ListParagraph"/>
              <w:numPr>
                <w:ilvl w:val="0"/>
                <w:numId w:val="2"/>
              </w:numPr>
              <w:spacing w:after="20" w:before="20"/>
            </w:pPr>
            <w:r>
              <w:rPr>
                <w:rFonts w:ascii="Arial" w:cs="Arial" w:eastAsia="Arial" w:hAnsi="Arial"/>
                <w:sz w:val="19"/>
                <w:szCs w:val="19"/>
              </w:rPr>
              <w:t xml:space="preserve">Run first full end-to-end demo scenario test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Professional UI live with citations displaying. Seed data loaded. Demo Scenario 1 (Feature X delay) runs end-to-end without errors.</w:t>
            </w:r>
          </w:p>
        </w:tc>
        <w:tc>
          <w:tcPr>
            <w:tcW w:type="dxa" w:w="1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UI quality gap. Retrieval quality on seed data.</w:t>
            </w:r>
          </w:p>
        </w:tc>
        <w:tc>
          <w:tcPr>
            <w:tcW w:type="dxa" w:w="1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bCs/>
                <w:color w:val="2563EB"/>
                <w:sz w:val="20"/>
                <w:szCs w:val="20"/>
              </w:rPr>
              <w:t xml:space="preserve">Demo Scenario 1 runs clean in &lt; 5 minutes.</w:t>
            </w:r>
          </w:p>
        </w:tc>
      </w:tr>
      <w:tr>
        <w:tc>
          <w:tcPr>
            <w:tcW w:type="dxa" w:w="720"/>
            <w:tcBorders>
              <w:top w:val="single" w:color="CBD5E1" w:sz="1"/>
              <w:left w:val="single" w:color="CBD5E1" w:sz="1"/>
              <w:bottom w:val="single" w:color="CBD5E1" w:sz="1"/>
              <w:right w:val="single" w:color="CBD5E1" w:sz="1"/>
            </w:tcBorders>
            <w:shd w:fill="7C3AED" w:val="clear"/>
            <w:tcMar>
              <w:top w:type="dxa" w:w="80"/>
              <w:left w:type="dxa" w:w="80"/>
              <w:bottom w:type="dxa" w:w="80"/>
              <w:right w:type="dxa" w:w="80"/>
            </w:tcMar>
          </w:tcPr>
          <w:p>
            <w:pPr>
              <w:jc w:val="center"/>
            </w:pPr>
            <w:r>
              <w:rPr>
                <w:rFonts w:ascii="Arial" w:cs="Arial" w:eastAsia="Arial" w:hAnsi="Arial"/>
                <w:b/>
                <w:bCs/>
                <w:color w:val="FFFFFF"/>
                <w:sz w:val="22"/>
                <w:szCs w:val="22"/>
              </w:rPr>
              <w:t xml:space="preserve">6</w:t>
            </w:r>
          </w:p>
        </w:tc>
        <w:tc>
          <w:tcPr>
            <w:tcW w:type="dxa" w:w="32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pStyle w:val="ListParagraph"/>
              <w:numPr>
                <w:ilvl w:val="0"/>
                <w:numId w:val="2"/>
              </w:numPr>
              <w:spacing w:after="20" w:before="20"/>
            </w:pPr>
            <w:r>
              <w:rPr>
                <w:rFonts w:ascii="Arial" w:cs="Arial" w:eastAsia="Arial" w:hAnsi="Arial"/>
                <w:sz w:val="19"/>
                <w:szCs w:val="19"/>
              </w:rPr>
              <w:t xml:space="preserve">Run all 3 demo scenarios; fix any retrieval quality issues</w:t>
            </w:r>
          </w:p>
          <w:p>
            <w:pPr>
              <w:pStyle w:val="ListParagraph"/>
              <w:numPr>
                <w:ilvl w:val="0"/>
                <w:numId w:val="2"/>
              </w:numPr>
              <w:spacing w:after="20" w:before="20"/>
            </w:pPr>
            <w:r>
              <w:rPr>
                <w:rFonts w:ascii="Arial" w:cs="Arial" w:eastAsia="Arial" w:hAnsi="Arial"/>
                <w:sz w:val="19"/>
                <w:szCs w:val="19"/>
              </w:rPr>
              <w:t xml:space="preserve">Add knowledge decay detection UI alert if capacity permits</w:t>
            </w:r>
          </w:p>
          <w:p>
            <w:pPr>
              <w:pStyle w:val="ListParagraph"/>
              <w:numPr>
                <w:ilvl w:val="0"/>
                <w:numId w:val="2"/>
              </w:numPr>
              <w:spacing w:after="20" w:before="20"/>
            </w:pPr>
            <w:r>
              <w:rPr>
                <w:rFonts w:ascii="Arial" w:cs="Arial" w:eastAsia="Arial" w:hAnsi="Arial"/>
                <w:sz w:val="19"/>
                <w:szCs w:val="19"/>
              </w:rPr>
              <w:t xml:space="preserve">Record polished fallback demo video (insurance against live failure)</w:t>
            </w:r>
          </w:p>
          <w:p>
            <w:pPr>
              <w:pStyle w:val="ListParagraph"/>
              <w:numPr>
                <w:ilvl w:val="0"/>
                <w:numId w:val="2"/>
              </w:numPr>
              <w:spacing w:after="20" w:before="20"/>
            </w:pPr>
            <w:r>
              <w:rPr>
                <w:rFonts w:ascii="Arial" w:cs="Arial" w:eastAsia="Arial" w:hAnsi="Arial"/>
                <w:sz w:val="19"/>
                <w:szCs w:val="19"/>
              </w:rPr>
              <w:t xml:space="preserve">Deploy to stable cloud environment (Vercel + Railway/AWS)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All 3 demo scenarios stable. Fallback video recorded. Production cloud deployment live and pre-warmed.</w:t>
            </w:r>
          </w:p>
        </w:tc>
        <w:tc>
          <w:tcPr>
            <w:tcW w:type="dxa" w:w="1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Demo instability. Last-minute retrieval gaps.</w:t>
            </w:r>
          </w:p>
        </w:tc>
        <w:tc>
          <w:tcPr>
            <w:tcW w:type="dxa" w:w="1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bCs/>
                <w:color w:val="7C3AED"/>
                <w:sz w:val="20"/>
                <w:szCs w:val="20"/>
              </w:rPr>
              <w:t xml:space="preserve">3 demo scenarios run error-free on cloud. Fallback video ready.</w:t>
            </w:r>
          </w:p>
        </w:tc>
      </w:tr>
      <w:tr>
        <w:tc>
          <w:tcPr>
            <w:tcW w:type="dxa" w:w="720"/>
            <w:tcBorders>
              <w:top w:val="single" w:color="CBD5E1" w:sz="1"/>
              <w:left w:val="single" w:color="CBD5E1" w:sz="1"/>
              <w:bottom w:val="single" w:color="CBD5E1" w:sz="1"/>
              <w:right w:val="single" w:color="CBD5E1" w:sz="1"/>
            </w:tcBorders>
            <w:shd w:fill="065F46" w:val="clear"/>
            <w:tcMar>
              <w:top w:type="dxa" w:w="80"/>
              <w:left w:type="dxa" w:w="80"/>
              <w:bottom w:type="dxa" w:w="80"/>
              <w:right w:type="dxa" w:w="80"/>
            </w:tcMar>
          </w:tcPr>
          <w:p>
            <w:pPr>
              <w:jc w:val="center"/>
            </w:pPr>
            <w:r>
              <w:rPr>
                <w:rFonts w:ascii="Arial" w:cs="Arial" w:eastAsia="Arial" w:hAnsi="Arial"/>
                <w:b/>
                <w:bCs/>
                <w:color w:val="FFFFFF"/>
                <w:sz w:val="22"/>
                <w:szCs w:val="22"/>
              </w:rPr>
              <w:t xml:space="preserve">7</w:t>
            </w:r>
          </w:p>
        </w:tc>
        <w:tc>
          <w:tcPr>
            <w:tcW w:type="dxa" w:w="32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pStyle w:val="ListParagraph"/>
              <w:numPr>
                <w:ilvl w:val="0"/>
                <w:numId w:val="2"/>
              </w:numPr>
              <w:spacing w:after="20" w:before="20"/>
            </w:pPr>
            <w:r>
              <w:rPr>
                <w:rFonts w:ascii="Arial" w:cs="Arial" w:eastAsia="Arial" w:hAnsi="Arial"/>
                <w:sz w:val="19"/>
                <w:szCs w:val="19"/>
              </w:rPr>
              <w:t xml:space="preserve">Full demo rehearsal — run the complete script 5+ times</w:t>
            </w:r>
          </w:p>
          <w:p>
            <w:pPr>
              <w:pStyle w:val="ListParagraph"/>
              <w:numPr>
                <w:ilvl w:val="0"/>
                <w:numId w:val="2"/>
              </w:numPr>
              <w:spacing w:after="20" w:before="20"/>
            </w:pPr>
            <w:r>
              <w:rPr>
                <w:rFonts w:ascii="Arial" w:cs="Arial" w:eastAsia="Arial" w:hAnsi="Arial"/>
                <w:sz w:val="19"/>
                <w:szCs w:val="19"/>
              </w:rPr>
              <w:t xml:space="preserve">Finalize submission package, documentation, and architecture diagram</w:t>
            </w:r>
          </w:p>
          <w:p>
            <w:pPr>
              <w:pStyle w:val="ListParagraph"/>
              <w:numPr>
                <w:ilvl w:val="0"/>
                <w:numId w:val="2"/>
              </w:numPr>
              <w:spacing w:after="20" w:before="20"/>
            </w:pPr>
            <w:r>
              <w:rPr>
                <w:rFonts w:ascii="Arial" w:cs="Arial" w:eastAsia="Arial" w:hAnsi="Arial"/>
                <w:sz w:val="19"/>
                <w:szCs w:val="19"/>
              </w:rPr>
              <w:t xml:space="preserve">Final submission review and submit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Submission complete. Demo flawless. Narrative tight. All documentation finalized.</w:t>
            </w:r>
          </w:p>
        </w:tc>
        <w:tc>
          <w:tcPr>
            <w:tcW w:type="dxa" w:w="1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Over-engineering instead of rehearsing.</w:t>
            </w:r>
          </w:p>
        </w:tc>
        <w:tc>
          <w:tcPr>
            <w:tcW w:type="dxa" w:w="1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bCs/>
                <w:color w:val="065F46"/>
                <w:sz w:val="20"/>
                <w:szCs w:val="20"/>
              </w:rPr>
              <w:t xml:space="preserve">Full demo runs in &lt; 5 min. Zero errors. Submitted.</w:t>
            </w:r>
          </w:p>
        </w:tc>
      </w:tr>
    </w:tbl>
    <w:p>
      <w:pPr>
        <w:spacing w:after="70" w:before="0"/>
      </w:pPr>
      <w:r>
        <w:rPr>
          <w:sz w:val="4"/>
          <w:szCs w:val="4"/>
        </w:rPr>
        <w:t xml:space="preserve"/>
      </w:r>
    </w:p>
    <w:p>
      <w:pPr>
        <w:pStyle w:val="Heading2"/>
        <w:spacing w:after="100" w:before="260"/>
      </w:pPr>
      <w:r>
        <w:rPr>
          <w:rFonts w:ascii="Arial" w:cs="Arial" w:eastAsia="Arial" w:hAnsi="Arial"/>
          <w:b/>
          <w:bCs/>
          <w:color w:val="1B4F8A"/>
          <w:sz w:val="25"/>
          <w:szCs w:val="25"/>
        </w:rPr>
        <w:t xml:space="preserve">5.2  The Three Demo Scenarios — Rehearsed and Ready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40"/>
        <w:gridCol w:w="2400"/>
        <w:gridCol w:w="3600"/>
        <w:gridCol w:w="3540"/>
      </w:tblGrid>
      <w:tr>
        <w:tc>
          <w:tcPr>
            <w:tcW w:type="dxa" w:w="54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t>
            </w:r>
          </w:p>
        </w:tc>
        <w:tc>
          <w:tcPr>
            <w:tcW w:type="dxa" w:w="24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Scenario</w:t>
            </w:r>
          </w:p>
        </w:tc>
        <w:tc>
          <w:tcPr>
            <w:tcW w:type="dxa" w:w="36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What the Demo Shows</w:t>
            </w:r>
          </w:p>
        </w:tc>
        <w:tc>
          <w:tcPr>
            <w:tcW w:type="dxa" w:w="354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Persona Addressed</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pPr>
              <w:jc w:val="center"/>
            </w:pPr>
            <w:r>
              <w:rPr>
                <w:rFonts w:ascii="Arial" w:cs="Arial" w:eastAsia="Arial" w:hAnsi="Arial"/>
                <w:b/>
                <w:bCs/>
                <w:color w:val="1B4F8A"/>
                <w:sz w:val="20"/>
                <w:szCs w:val="20"/>
              </w:rPr>
              <w:t xml:space="preserve">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bCs/>
                <w:color w:val="0D1B2A"/>
                <w:sz w:val="20"/>
                <w:szCs w:val="20"/>
              </w:rPr>
              <w:t xml:space="preserve">"Why was Feature X delayed?"</w:t>
            </w:r>
          </w:p>
        </w:tc>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Multi-source retrieval from GitHub + Notion. Three citations. Temporal confidence HIGH. Permission enforcement demonstrated. 30-second answer.</w:t>
            </w:r>
          </w:p>
        </w:tc>
        <w:tc>
          <w:tcPr>
            <w:tcW w:type="dxa" w:w="35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Engineering Leads, Product Managers, New Employees</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pPr>
              <w:jc w:val="center"/>
            </w:pPr>
            <w:r>
              <w:rPr>
                <w:rFonts w:ascii="Arial" w:cs="Arial" w:eastAsia="Arial" w:hAnsi="Arial"/>
                <w:b/>
                <w:bCs/>
                <w:color w:val="1B4F8A"/>
                <w:sz w:val="20"/>
                <w:szCs w:val="20"/>
              </w:rPr>
              <w:t xml:space="preserve">2</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bCs/>
                <w:color w:val="0D1B2A"/>
                <w:sz w:val="20"/>
                <w:szCs w:val="20"/>
              </w:rPr>
              <w:t xml:space="preserve">"What is our API rate limiting strategy and why was it set that way?"</w:t>
            </w:r>
          </w:p>
        </w:tc>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Retrieves engineering decision from GitHub issue + Google Doc spec. Shows decision reconstruction — stakeholders named, alternatives listed, final rationale cited.</w:t>
            </w:r>
          </w:p>
        </w:tc>
        <w:tc>
          <w:tcPr>
            <w:tcW w:type="dxa" w:w="35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New Engineers, Technical Leads, Onboarding Acceleration</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pPr>
              <w:jc w:val="center"/>
            </w:pPr>
            <w:r>
              <w:rPr>
                <w:rFonts w:ascii="Arial" w:cs="Arial" w:eastAsia="Arial" w:hAnsi="Arial"/>
                <w:b/>
                <w:bCs/>
                <w:color w:val="1B4F8A"/>
                <w:sz w:val="20"/>
                <w:szCs w:val="20"/>
              </w:rPr>
              <w:t xml:space="preserve">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bCs/>
                <w:color w:val="0D1B2A"/>
                <w:sz w:val="20"/>
                <w:szCs w:val="20"/>
              </w:rPr>
              <w:t xml:space="preserve">"What was our enterprise competitive positioning 18 months ago and how has it evolved?"</w:t>
            </w:r>
          </w:p>
        </w:tc>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Retrieves from Gmail threads + Notion strategy docs. Temporal decay shown — older claims flagged as potentially stale. Full strategic evolution cited.</w:t>
            </w:r>
          </w:p>
        </w:tc>
        <w:tc>
          <w:tcPr>
            <w:tcW w:type="dxa" w:w="35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left"/>
            </w:pPr>
            <w:r>
              <w:rPr>
                <w:rFonts w:ascii="Arial" w:cs="Arial" w:eastAsia="Arial" w:hAnsi="Arial"/>
                <w:b w:val="false"/>
                <w:bCs w:val="false"/>
                <w:color w:val="1E293B"/>
                <w:sz w:val="20"/>
                <w:szCs w:val="20"/>
              </w:rPr>
              <w:t xml:space="preserve">Executives, Board Prep, Due Diligence, M&amp;A Scenarios</w:t>
            </w:r>
          </w:p>
        </w:tc>
      </w:tr>
    </w:tbl>
    <w:p>
      <w:pPr>
        <w:spacing w:after="70" w:before="0"/>
      </w:pPr>
      <w:r>
        <w:rPr>
          <w:sz w:val="4"/>
          <w:szCs w:val="4"/>
        </w:rPr>
        <w:t xml:space="preserve"/>
      </w:r>
    </w:p>
    <w:p>
      <w:pPr>
        <w:pStyle w:val="Heading2"/>
        <w:spacing w:after="100" w:before="260"/>
      </w:pPr>
      <w:r>
        <w:rPr>
          <w:rFonts w:ascii="Arial" w:cs="Arial" w:eastAsia="Arial" w:hAnsi="Arial"/>
          <w:b/>
          <w:bCs/>
          <w:color w:val="1B4F8A"/>
          <w:sz w:val="25"/>
          <w:szCs w:val="25"/>
        </w:rPr>
        <w:t xml:space="preserve">5.3  Why This Will Win</w:t>
      </w:r>
    </w:p>
    <w:p>
      <w:pPr>
        <w:spacing w:after="110" w:before="0" w:line="300"/>
        <w:jc w:val="both"/>
      </w:pPr>
      <w:r>
        <w:rPr>
          <w:rFonts w:ascii="Arial" w:cs="Arial" w:eastAsia="Arial" w:hAnsi="Arial"/>
          <w:b w:val="false"/>
          <w:bCs w:val="false"/>
          <w:i w:val="false"/>
          <w:iCs w:val="false"/>
          <w:color w:val="1E293B"/>
          <w:sz w:val="22"/>
          <w:szCs w:val="22"/>
        </w:rPr>
        <w:t xml:space="preserve">Company Brain is the only submission in this hackathon that addresses a </w:t>
      </w:r>
      <w:r>
        <w:rPr>
          <w:rFonts w:ascii="Arial" w:cs="Arial" w:eastAsia="Arial" w:hAnsi="Arial"/>
          <w:b/>
          <w:bCs/>
          <w:i w:val="false"/>
          <w:iCs w:val="false"/>
          <w:color w:val="1E293B"/>
          <w:sz w:val="22"/>
          <w:szCs w:val="22"/>
        </w:rPr>
        <w:t xml:space="preserve">structural infrastructure problem</w:t>
      </w:r>
      <w:r>
        <w:rPr>
          <w:rFonts w:ascii="Arial" w:cs="Arial" w:eastAsia="Arial" w:hAnsi="Arial"/>
          <w:b w:val="false"/>
          <w:bCs w:val="false"/>
          <w:i w:val="false"/>
          <w:iCs w:val="false"/>
          <w:color w:val="1E293B"/>
          <w:sz w:val="22"/>
          <w:szCs w:val="22"/>
        </w:rPr>
        <w:t xml:space="preserve"> — not a surface-level productivity feature. Every judge has worked at a company where this pain was real. Every judge has experienced the "why did we do this?" conversation that takes days instead of seconds. Every judge will immediately recognize that what Company Brain demonstrates is not a smarter search — it is a </w:t>
      </w:r>
      <w:r>
        <w:rPr>
          <w:rFonts w:ascii="Arial" w:cs="Arial" w:eastAsia="Arial" w:hAnsi="Arial"/>
          <w:b/>
          <w:bCs/>
          <w:i w:val="false"/>
          <w:iCs w:val="false"/>
          <w:color w:val="1E293B"/>
          <w:sz w:val="22"/>
          <w:szCs w:val="22"/>
        </w:rPr>
        <w:t xml:space="preserve">new category of enterprise software</w:t>
      </w:r>
      <w:r>
        <w:rPr>
          <w:rFonts w:ascii="Arial" w:cs="Arial" w:eastAsia="Arial" w:hAnsi="Arial"/>
          <w:b w:val="false"/>
          <w:bCs w:val="false"/>
          <w:i w:val="false"/>
          <w:iCs w:val="false"/>
          <w:color w:val="1E293B"/>
          <w:sz w:val="22"/>
          <w:szCs w:val="22"/>
        </w:rPr>
        <w:t xml:space="preserve"> that every knowledge-intensive organization will eventually need.</w:t>
      </w:r>
    </w:p>
    <w:p>
      <w:pPr>
        <w:spacing w:after="110" w:before="0" w:line="300"/>
        <w:jc w:val="both"/>
      </w:pPr>
      <w:r>
        <w:rPr>
          <w:rFonts w:ascii="Arial" w:cs="Arial" w:eastAsia="Arial" w:hAnsi="Arial"/>
          <w:b w:val="false"/>
          <w:bCs w:val="false"/>
          <w:i w:val="false"/>
          <w:iCs w:val="false"/>
          <w:color w:val="1E293B"/>
          <w:sz w:val="22"/>
          <w:szCs w:val="22"/>
        </w:rPr>
        <w:t xml:space="preserve">The connectors are built. The pipeline is live. The differentiators — temporal intelligence, permission-aware retrieval, decision reconstruction — are technically credible and demonstrably unique. The only work remaining is polish and rehearsal.</w:t>
      </w:r>
    </w:p>
    <w:p>
      <w:pPr>
        <w:spacing w:after="70" w:before="0"/>
      </w:pPr>
      <w:r>
        <w:rPr>
          <w:sz w:val="4"/>
          <w:szCs w:val="4"/>
        </w:rPr>
        <w:t xml:space="preserve"/>
      </w:r>
    </w:p>
    <w:p>
      <w:pPr>
        <w:shd w:fill="0D1B2A" w:val="clear"/>
        <w:spacing w:after="0" w:before="140"/>
        <w:jc w:val="center"/>
      </w:pPr>
      <w:r>
        <w:rPr>
          <w:rFonts w:ascii="Arial" w:cs="Arial" w:eastAsia="Arial" w:hAnsi="Arial"/>
          <w:b/>
          <w:bCs/>
          <w:i/>
          <w:iCs/>
          <w:color w:val="FFFFFF"/>
          <w:sz w:val="26"/>
          <w:szCs w:val="26"/>
        </w:rPr>
        <w:t xml:space="preserve">Company Brain is not another enterprise chatbot.</w:t>
      </w:r>
    </w:p>
    <w:p>
      <w:pPr>
        <w:shd w:fill="0D1B2A" w:val="clear"/>
        <w:spacing w:after="0" w:before="0"/>
        <w:jc w:val="center"/>
      </w:pPr>
      <w:r>
        <w:rPr>
          <w:rFonts w:ascii="Arial" w:cs="Arial" w:eastAsia="Arial" w:hAnsi="Arial"/>
          <w:b/>
          <w:bCs/>
          <w:i/>
          <w:iCs/>
          <w:color w:val="DBEAFE"/>
          <w:sz w:val="26"/>
          <w:szCs w:val="26"/>
        </w:rPr>
        <w:t xml:space="preserve">It is the institutional memory infrastructure layer for AI-native organizations.</w:t>
      </w:r>
    </w:p>
    <w:p>
      <w:pPr>
        <w:shd w:fill="0D1B2A" w:val="clear"/>
        <w:spacing w:after="0" w:before="60"/>
        <w:jc w:val="center"/>
      </w:pPr>
      <w:r>
        <w:rPr>
          <w:rFonts w:ascii="Arial" w:cs="Arial" w:eastAsia="Arial" w:hAnsi="Arial"/>
          <w:i/>
          <w:iCs/>
          <w:color w:val="94A3B8"/>
          <w:sz w:val="19"/>
          <w:szCs w:val="19"/>
        </w:rPr>
        <w:t xml:space="preserve">Software changed how companies operate.  Cloud changed where software runs.  AI will change who does the work.</w:t>
      </w:r>
    </w:p>
    <w:p>
      <w:pPr>
        <w:shd w:fill="0D1B2A" w:val="clear"/>
        <w:spacing w:after="140" w:before="0"/>
        <w:jc w:val="center"/>
      </w:pPr>
      <w:r>
        <w:rPr>
          <w:rFonts w:ascii="Arial" w:cs="Arial" w:eastAsia="Arial" w:hAnsi="Arial"/>
          <w:i/>
          <w:iCs/>
          <w:color w:val="DBEAFE"/>
          <w:sz w:val="19"/>
          <w:szCs w:val="19"/>
        </w:rPr>
        <w:t xml:space="preserve">Company Brain ensures organizations never lose the intelligence that powers that work.</w:t>
      </w:r>
    </w:p>
    <w:p>
      <w:pPr>
        <w:spacing w:after="70" w:before="0"/>
      </w:pPr>
      <w:r>
        <w:rPr>
          <w:sz w:val="4"/>
          <w:szCs w:val="4"/>
        </w:rPr>
        <w:t xml:space="preserve"/>
      </w:r>
    </w:p>
    <w:p>
      <w:pPr>
        <w:pBdr>
          <w:top w:val="single" w:color="2563EB" w:sz="4" w:space="6"/>
        </w:pBdr>
        <w:spacing w:after="0" w:before="80"/>
        <w:jc w:val="center"/>
      </w:pPr>
      <w:r>
        <w:rPr>
          <w:rFonts w:ascii="Arial" w:cs="Arial" w:eastAsia="Arial" w:hAnsi="Arial"/>
          <w:i/>
          <w:iCs/>
          <w:color w:val="475569"/>
          <w:sz w:val="17"/>
          <w:szCs w:val="17"/>
        </w:rPr>
        <w:t xml:space="preserve">Krishil Agrawal  |  OpenAI x Outskill AI Builders Hackathon  |  Company Brain — Project Execution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spacing w:before="50"/>
      <w:jc w:val="center"/>
    </w:pPr>
    <w:r>
      <w:rPr>
        <w:rFonts w:ascii="Arial" w:cs="Arial" w:eastAsia="Arial" w:hAnsi="Arial"/>
        <w:color w:val="475569"/>
        <w:sz w:val="17"/>
        <w:szCs w:val="17"/>
      </w:rPr>
      <w:t xml:space="preserve">Krishil Agrawal  |  Company Brain  |  Prepared for OpenAI x Outskill AI Builders Hackathon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50"/>
      <w:jc w:val="right"/>
    </w:pPr>
    <w:r>
      <w:rPr>
        <w:rFonts w:ascii="Arial" w:cs="Arial" w:eastAsia="Arial" w:hAnsi="Arial"/>
        <w:color w:val="475569"/>
        <w:sz w:val="17"/>
        <w:szCs w:val="17"/>
      </w:rPr>
      <w:t xml:space="preserve">COMPANY BRAIN  |  Project Execution Document  |  OpenAI x Outskill AI Builders Hackathon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40"/>
      </w:pPr>
    </w:lvl>
  </w:abstractNum>
  <w:abstractNum w:abstractNumId="3" w15:restartNumberingAfterBreak="0">
    <w:multiLevelType w:val="hybridMultilevel"/>
    <w:lvl w:ilvl="0" w15:tentative="1">
      <w:start w:val="1"/>
      <w:numFmt w:val="decimal"/>
      <w:lvlText w:val="%1."/>
      <w:lvlJc w:val="left"/>
      <w:pPr>
        <w:ind w:left="68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1B2A"/>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1B4F8A"/>
      <w:sz w:val="25"/>
      <w:szCs w:val="25"/>
    </w:rPr>
  </w:style>
  <w:style w:type="paragraph" w:styleId="Heading3">
    <w:name w:val="Heading 3"/>
    <w:basedOn w:val="Normal"/>
    <w:next w:val="Normal"/>
    <w:qFormat/>
    <w:pPr>
      <w:spacing w:after="70" w:before="180"/>
      <w:outlineLvl w:val="2"/>
    </w:pPr>
    <w:rPr>
      <w:rFonts w:ascii="Arial" w:cs="Arial" w:eastAsia="Arial" w:hAnsi="Arial"/>
      <w:b/>
      <w:bCs/>
      <w:color w:val="0F76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2026-05-27T19:18:42.402Z</dcterms:created>
  <dcterms:modified xsi:type="dcterms:W3CDTF">2026-05-27T19:18:42.402Z</dcterms:modified>
</cp:coreProperties>
</file>

<file path=docProps/custom.xml><?xml version="1.0" encoding="utf-8"?>
<Properties xmlns="http://schemas.openxmlformats.org/officeDocument/2006/custom-properties" xmlns:vt="http://schemas.openxmlformats.org/officeDocument/2006/docPropsVTypes"/>
</file>