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rPr>
          <w:rFonts w:ascii="Arial" w:cs="Arial" w:eastAsia="Arial" w:hAnsi="Arial"/>
          <w:b w:val="false"/>
          <w:bCs w:val="false"/>
          <w:i w:val="false"/>
          <w:iCs w:val="false"/>
          <w:color w:val="000000"/>
          <w:sz w:val="22"/>
          <w:szCs w:val="22"/>
        </w:rPr>
        <w:t xml:space="preserve"/>
      </w:r>
    </w:p>
    <w:p>
      <w:pPr>
        <w:spacing w:after="100" w:before="0"/>
        <w:jc w:val="center"/>
      </w:pPr>
      <w:r>
        <w:rPr>
          <w:rFonts w:ascii="Arial" w:cs="Arial" w:eastAsia="Arial" w:hAnsi="Arial"/>
          <w:b/>
          <w:bCs/>
          <w:i w:val="false"/>
          <w:iCs w:val="false"/>
          <w:color w:val="1F4E79"/>
          <w:sz w:val="52"/>
          <w:szCs w:val="52"/>
        </w:rPr>
        <w:t xml:space="preserve">MSSI Capstone Project Proposal</w:t>
      </w:r>
    </w:p>
    <w:p>
      <w:pPr>
        <w:pBdr>
          <w:bottom w:val="single" w:color="B7950B" w:sz="12" w:space="4"/>
        </w:pBdr>
        <w:spacing w:after="60" w:before="0"/>
        <w:jc w:val="center"/>
      </w:pPr>
      <w:r>
        <w:rPr>
          <w:rFonts w:ascii="Arial" w:cs="Arial" w:eastAsia="Arial" w:hAnsi="Arial"/>
          <w:b/>
          <w:bCs/>
          <w:i w:val="false"/>
          <w:iCs w:val="false"/>
          <w:color w:val="1A5276"/>
          <w:sz w:val="36"/>
          <w:szCs w:val="36"/>
        </w:rPr>
        <w:t xml:space="preserve">Securing the AI Agent Supply Chain:</w:t>
      </w:r>
    </w:p>
    <w:p>
      <w:pPr>
        <w:spacing w:after="320" w:before="80"/>
        <w:jc w:val="center"/>
      </w:pPr>
      <w:r>
        <w:rPr>
          <w:rFonts w:ascii="Arial" w:cs="Arial" w:eastAsia="Arial" w:hAnsi="Arial"/>
          <w:b w:val="false"/>
          <w:bCs w:val="false"/>
          <w:i/>
          <w:iCs/>
          <w:color w:val="404040"/>
          <w:sz w:val="28"/>
          <w:szCs w:val="28"/>
        </w:rPr>
        <w:t xml:space="preserve">Attacking, Defending, Governing, and Cryptographically Securing MCP Tool Ecosystems</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Institution</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Johns Hopkins University — Information Security Institute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Program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Master of Science in Security Informatics (MSSI)</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Team Lead</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Ronit Grover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Proposed Mentor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TBD — See Section 9</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Semester</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Fall 2026</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Date Submitted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v3.0 — Full Integration Draft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Confidential — For Faculty Review Only</w:t>
            </w:r>
          </w:p>
        </w:tc>
      </w:tr>
    </w:tbl>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E79"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Project Scope at a Glance</w:t>
            </w:r>
          </w:p>
          <w:p>
            <w:pPr>
              <w:spacing w:after="30" w:before="30"/>
            </w:pPr>
            <w:r>
              <w:rPr>
                <w:rFonts w:ascii="Arial" w:cs="Arial" w:eastAsia="Arial" w:hAnsi="Arial"/>
                <w:b w:val="false"/>
                <w:bCs w:val="false"/>
                <w:i w:val="false"/>
                <w:iCs w:val="false"/>
                <w:color w:val="FFFFFF"/>
                <w:sz w:val="20"/>
                <w:szCs w:val="20"/>
              </w:rPr>
              <w:t xml:space="preserve">This proposal delivers five integrated contributions: (1) MCPoisoner — offensive red-team</w:t>
            </w:r>
          </w:p>
          <w:p>
            <w:pPr>
              <w:spacing w:after="30" w:before="30"/>
            </w:pPr>
            <w:r>
              <w:rPr>
                <w:rFonts w:ascii="Arial" w:cs="Arial" w:eastAsia="Arial" w:hAnsi="Arial"/>
                <w:b w:val="false"/>
                <w:bCs w:val="false"/>
                <w:i w:val="false"/>
                <w:iCs w:val="false"/>
                <w:color w:val="FFFFFF"/>
                <w:sz w:val="20"/>
                <w:szCs w:val="20"/>
              </w:rPr>
              <w:t xml:space="preserve">toolkit across 60 attack configurations, (2) MCPShield — three-layer defense framework with</w:t>
            </w:r>
          </w:p>
          <w:p>
            <w:pPr>
              <w:spacing w:after="30" w:before="30"/>
            </w:pPr>
            <w:r>
              <w:rPr>
                <w:rFonts w:ascii="Arial" w:cs="Arial" w:eastAsia="Arial" w:hAnsi="Arial"/>
                <w:b w:val="false"/>
                <w:bCs w:val="false"/>
                <w:i w:val="false"/>
                <w:iCs w:val="false"/>
                <w:color w:val="FFFFFF"/>
                <w:sz w:val="20"/>
                <w:szCs w:val="20"/>
              </w:rPr>
              <w:t xml:space="preserve">static analysis, runtime monitoring, and policy enforcement, (3) CryptoMCP — cryptographic</w:t>
            </w:r>
          </w:p>
          <w:p>
            <w:pPr>
              <w:spacing w:after="30" w:before="30"/>
            </w:pPr>
            <w:r>
              <w:rPr>
                <w:rFonts w:ascii="Arial" w:cs="Arial" w:eastAsia="Arial" w:hAnsi="Arial"/>
                <w:b w:val="false"/>
                <w:bCs w:val="false"/>
                <w:i w:val="false"/>
                <w:iCs w:val="false"/>
                <w:color w:val="FFFFFF"/>
                <w:sz w:val="20"/>
                <w:szCs w:val="20"/>
              </w:rPr>
              <w:t xml:space="preserve">integrity layer for tool description signing and verification, (4) MCP Governance Framework —</w:t>
            </w:r>
          </w:p>
          <w:p>
            <w:pPr>
              <w:spacing w:after="30" w:before="30"/>
            </w:pPr>
            <w:r>
              <w:rPr>
                <w:rFonts w:ascii="Arial" w:cs="Arial" w:eastAsia="Arial" w:hAnsi="Arial"/>
                <w:b w:val="false"/>
                <w:bCs w:val="false"/>
                <w:i w:val="false"/>
                <w:iCs w:val="false"/>
                <w:color w:val="FFFFFF"/>
                <w:sz w:val="20"/>
                <w:szCs w:val="20"/>
              </w:rPr>
              <w:t xml:space="preserve">shared responsibility model with legal liability mapping and regulatory compliance templates,</w:t>
            </w:r>
          </w:p>
          <w:p>
            <w:pPr>
              <w:spacing w:after="30" w:before="30"/>
            </w:pPr>
            <w:r>
              <w:rPr>
                <w:rFonts w:ascii="Arial" w:cs="Arial" w:eastAsia="Arial" w:hAnsi="Arial"/>
                <w:b w:val="false"/>
                <w:bCs w:val="false"/>
                <w:i w:val="false"/>
                <w:iCs w:val="false"/>
                <w:color w:val="FFFFFF"/>
                <w:sz w:val="20"/>
                <w:szCs w:val="20"/>
              </w:rPr>
              <w:t xml:space="preserve">and (5) MCP Security Standard — industry-facing best practices document for OWASP/NIST/EU AI Act.</w:t>
            </w:r>
          </w:p>
        </w:tc>
      </w:tr>
    </w:tbl>
    <w:p>
      <w:r>
        <w:br w:type="page"/>
      </w:r>
    </w:p>
    <w:p>
      <w:pPr>
        <w:pStyle w:val="Heading1"/>
        <w:spacing w:after="140" w:before="400"/>
      </w:pPr>
      <w:r>
        <w:rPr>
          <w:rFonts w:ascii="Arial" w:cs="Arial" w:eastAsia="Arial" w:hAnsi="Arial"/>
          <w:b/>
          <w:bCs/>
          <w:i w:val="false"/>
          <w:iCs w:val="false"/>
          <w:color w:val="1F4E79"/>
          <w:sz w:val="34"/>
          <w:szCs w:val="34"/>
        </w:rPr>
        <w:t xml:space="preserve">1. Problem Statement</w:t>
      </w:r>
    </w:p>
    <w:p>
      <w:pPr>
        <w:pStyle w:val="Heading2"/>
        <w:spacing w:after="100" w:before="260"/>
      </w:pPr>
      <w:r>
        <w:rPr>
          <w:rFonts w:ascii="Arial" w:cs="Arial" w:eastAsia="Arial" w:hAnsi="Arial"/>
          <w:b/>
          <w:bCs/>
          <w:i w:val="false"/>
          <w:iCs w:val="false"/>
          <w:color w:val="1A5276"/>
          <w:sz w:val="26"/>
          <w:szCs w:val="26"/>
        </w:rPr>
        <w:t xml:space="preserve">1.1 The Technical Threat</w:t>
      </w:r>
    </w:p>
    <w:p>
      <w:pPr>
        <w:spacing w:after="120" w:before="60"/>
        <w:jc w:val="both"/>
      </w:pPr>
      <w:r>
        <w:rPr>
          <w:rFonts w:ascii="Arial" w:cs="Arial" w:eastAsia="Arial" w:hAnsi="Arial"/>
          <w:b w:val="false"/>
          <w:bCs w:val="false"/>
          <w:i w:val="false"/>
          <w:iCs w:val="false"/>
          <w:color w:val="000000"/>
          <w:sz w:val="22"/>
          <w:szCs w:val="22"/>
        </w:rPr>
        <w:t xml:space="preserve">The Model Context Protocol (MCP), introduced by Anthropic in November 2024 and rapidly adopted across the AI industry, has become the de facto standard for connecting Large Language Model (LLM) agents to external tools — databases, file systems, APIs, and code execution environments. By mid-2025, MCP had been integrated into major platforms including Claude Desktop, VS Code (GitHub Copilot), Cursor, Windsurf, and dozens of enterprise AI deployments.</w:t>
      </w:r>
    </w:p>
    <w:p>
      <w:pPr>
        <w:spacing w:after="120" w:before="60"/>
        <w:jc w:val="both"/>
      </w:pPr>
      <w:r>
        <w:rPr>
          <w:rFonts w:ascii="Arial" w:cs="Arial" w:eastAsia="Arial" w:hAnsi="Arial"/>
          <w:b w:val="false"/>
          <w:bCs w:val="false"/>
          <w:i w:val="false"/>
          <w:iCs w:val="false"/>
          <w:color w:val="000000"/>
          <w:sz w:val="22"/>
          <w:szCs w:val="22"/>
        </w:rPr>
        <w:t xml:space="preserve">MCP introduces a fundamentally new and under-studied attack surface: the AI agent supply chain. Unlike traditional software supply chain attacks (e.g., SolarWinds, Log4Shell) where malicious code must be executed, MCP tool poisoning operates at the semantic layer — attackers embed hidden instructions in tool descriptions, parameter schemas, or return values that manipulate agent behavior without any code exploitation.</w:t>
      </w:r>
    </w:p>
    <w:p>
      <w:pPr>
        <w:spacing w:after="120" w:before="60"/>
        <w:jc w:val="both"/>
      </w:pPr>
      <w:r>
        <w:rPr>
          <w:rFonts w:ascii="Arial" w:cs="Arial" w:eastAsia="Arial" w:hAnsi="Arial"/>
          <w:b w:val="false"/>
          <w:bCs w:val="false"/>
          <w:i w:val="false"/>
          <w:iCs w:val="false"/>
          <w:color w:val="000000"/>
          <w:sz w:val="22"/>
          <w:szCs w:val="22"/>
        </w:rPr>
        <w:t xml:space="preserve">Recent proof-of-concept attacks have demonstrated that malicious MCP servers can: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Exfiltrate sensitive user data (API keys, credentials, personal files) by embedding hidden instructions in tool descriptions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Override user intent by hijacking tool selection ("tool shadowing") — making the agent call a malicious tool instead of the legitimate one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Execute rug-pull attacks where a tool behaves normally during initial evaluation but changes behavior after trust is established</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Poison downstream agent memory and context, creating persistent backdoors across sessions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1.2 The Cryptographic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4A235A"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Critical Insight: No Integrity Guarantees</w:t>
            </w:r>
          </w:p>
          <w:p>
            <w:pPr>
              <w:spacing w:after="30" w:before="30"/>
            </w:pPr>
            <w:r>
              <w:rPr>
                <w:rFonts w:ascii="Arial" w:cs="Arial" w:eastAsia="Arial" w:hAnsi="Arial"/>
                <w:b w:val="false"/>
                <w:bCs w:val="false"/>
                <w:i w:val="false"/>
                <w:iCs w:val="false"/>
                <w:color w:val="FFFFFF"/>
                <w:sz w:val="20"/>
                <w:szCs w:val="20"/>
              </w:rPr>
              <w:t xml:space="preserve">MCP has no built-in mechanism to verify that a tool description received at runtime is</w:t>
            </w:r>
          </w:p>
          <w:p>
            <w:pPr>
              <w:spacing w:after="30" w:before="30"/>
            </w:pPr>
            <w:r>
              <w:rPr>
                <w:rFonts w:ascii="Arial" w:cs="Arial" w:eastAsia="Arial" w:hAnsi="Arial"/>
                <w:b w:val="false"/>
                <w:bCs w:val="false"/>
                <w:i w:val="false"/>
                <w:iCs w:val="false"/>
                <w:color w:val="FFFFFF"/>
                <w:sz w:val="20"/>
                <w:szCs w:val="20"/>
              </w:rPr>
              <w:t xml:space="preserve">identical to the description that was audited and approved at deployment. An attacker who</w:t>
            </w:r>
          </w:p>
          <w:p>
            <w:pPr>
              <w:spacing w:after="30" w:before="30"/>
            </w:pPr>
            <w:r>
              <w:rPr>
                <w:rFonts w:ascii="Arial" w:cs="Arial" w:eastAsia="Arial" w:hAnsi="Arial"/>
                <w:b w:val="false"/>
                <w:bCs w:val="false"/>
                <w:i w:val="false"/>
                <w:iCs w:val="false"/>
                <w:color w:val="FFFFFF"/>
                <w:sz w:val="20"/>
                <w:szCs w:val="20"/>
              </w:rPr>
              <w:t xml:space="preserve">can modify a tool description in transit, at rest, or post-deployment faces zero cryptographic</w:t>
            </w:r>
          </w:p>
          <w:p>
            <w:pPr>
              <w:spacing w:after="30" w:before="30"/>
            </w:pPr>
            <w:r>
              <w:rPr>
                <w:rFonts w:ascii="Arial" w:cs="Arial" w:eastAsia="Arial" w:hAnsi="Arial"/>
                <w:b w:val="false"/>
                <w:bCs w:val="false"/>
                <w:i w:val="false"/>
                <w:iCs w:val="false"/>
                <w:color w:val="FFFFFF"/>
                <w:sz w:val="20"/>
                <w:szCs w:val="20"/>
              </w:rPr>
              <w:t xml:space="preserve">resistance. This is the foundational security flaw that cryptographic attestation must address.</w:t>
            </w:r>
          </w:p>
        </w:tc>
      </w:tr>
    </w:tbl>
    <w:p>
      <w:pPr>
        <w:spacing w:after="60" w:before="0"/>
      </w:pPr>
      <w:r>
        <w:rPr>
          <w:rFonts w:ascii="Arial" w:cs="Arial" w:eastAsia="Arial" w:hAnsi="Arial"/>
          <w:b w:val="false"/>
          <w:bCs w:val="false"/>
          <w:i w:val="false"/>
          <w:iCs w:val="false"/>
          <w:color w:val="000000"/>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The current MCP architecture has three cryptographic blind spots that directly enable the attack classes this project targets: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Tool Description Integrity: Tool descriptions are served as plain JSON over JSON-RPC with no digital signature. A man-in-the-middle or a compromised server can modify them without detection.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Publisher Authentication: There is no PKI-based mechanism to verify that a tool actually originates from its claimed publisher. Any actor can publish a tool claiming to be from a trusted vendor.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Runtime Attestation: Even if a tool description is audited at deployment, there is no mechanism to continuously verify that the description has not changed — enabling rug-pull attacks.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1.3 The Governance and Legal 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A5276"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The Regulatory Gap</w:t>
            </w:r>
          </w:p>
          <w:p>
            <w:pPr>
              <w:spacing w:after="30" w:before="30"/>
            </w:pPr>
            <w:r>
              <w:rPr>
                <w:rFonts w:ascii="Arial" w:cs="Arial" w:eastAsia="Arial" w:hAnsi="Arial"/>
                <w:b w:val="false"/>
                <w:bCs w:val="false"/>
                <w:i w:val="false"/>
                <w:iCs w:val="false"/>
                <w:color w:val="FFFFFF"/>
                <w:sz w:val="20"/>
                <w:szCs w:val="20"/>
              </w:rPr>
              <w:t xml:space="preserve">No existing regulation — not the EU AI Act, GDPR, NIST AI RMF, nor SOC 2 Type II —</w:t>
            </w:r>
          </w:p>
          <w:p>
            <w:pPr>
              <w:spacing w:after="30" w:before="30"/>
            </w:pPr>
            <w:r>
              <w:rPr>
                <w:rFonts w:ascii="Arial" w:cs="Arial" w:eastAsia="Arial" w:hAnsi="Arial"/>
                <w:b w:val="false"/>
                <w:bCs w:val="false"/>
                <w:i w:val="false"/>
                <w:iCs w:val="false"/>
                <w:color w:val="FFFFFF"/>
                <w:sz w:val="20"/>
                <w:szCs w:val="20"/>
              </w:rPr>
              <w:t xml:space="preserve">explicitly addresses MCP tool supply chain risks. Enterprises are deploying AI agents with</w:t>
            </w:r>
          </w:p>
          <w:p>
            <w:pPr>
              <w:spacing w:after="30" w:before="30"/>
            </w:pPr>
            <w:r>
              <w:rPr>
                <w:rFonts w:ascii="Arial" w:cs="Arial" w:eastAsia="Arial" w:hAnsi="Arial"/>
                <w:b w:val="false"/>
                <w:bCs w:val="false"/>
                <w:i w:val="false"/>
                <w:iCs w:val="false"/>
                <w:color w:val="FFFFFF"/>
                <w:sz w:val="20"/>
                <w:szCs w:val="20"/>
              </w:rPr>
              <w:t xml:space="preserve">zero legal clarity on who bears liability when an MCP attack causes data exfiltration,</w:t>
            </w:r>
          </w:p>
          <w:p>
            <w:pPr>
              <w:spacing w:after="30" w:before="30"/>
            </w:pPr>
            <w:r>
              <w:rPr>
                <w:rFonts w:ascii="Arial" w:cs="Arial" w:eastAsia="Arial" w:hAnsi="Arial"/>
                <w:b w:val="false"/>
                <w:bCs w:val="false"/>
                <w:i w:val="false"/>
                <w:iCs w:val="false"/>
                <w:color w:val="FFFFFF"/>
                <w:sz w:val="20"/>
                <w:szCs w:val="20"/>
              </w:rPr>
              <w:t xml:space="preserve">financial harm, or privacy violations.</w:t>
            </w:r>
          </w:p>
        </w:tc>
      </w:tr>
    </w:tbl>
    <w:p>
      <w:pPr>
        <w:spacing w:after="60" w:before="0"/>
      </w:pPr>
      <w:r>
        <w:rPr>
          <w:rFonts w:ascii="Arial" w:cs="Arial" w:eastAsia="Arial" w:hAnsi="Arial"/>
          <w:b w:val="false"/>
          <w:bCs w:val="false"/>
          <w:i w:val="false"/>
          <w:iCs w:val="false"/>
          <w:color w:val="000000"/>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MCP poisoning attacks raise profound and currently unanswered questions at the intersection of law, policy, and organizational management: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Legal Liability: When an AI agent executes a malicious tool action that exfiltrates customer PII, who bears responsibility — the AI platform vendor, the MCP server publisher, or the enterprise deployer? Current tort law and data protection regulation do not provide clear answers.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Regulatory Compliance: GDPR Article 22 restricts automated decision-making affecting individuals but does not contemplate AI agent actions triggered by poisoned tool calls. The EU AI Act's risk classification framework (Articles 6-9) is silent on agentic AI supply chain risks.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Organizational Risk Management: CISOs have no established framework for quantifying or managing MCP exposure. Standard vendor risk assessment questionnaires do not include MCP-specific controls.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Standards Gap: OWASP's 2025 LLM Top 10 identifies supply chain vulnerabilities (LLM03) and excessive agency (LLM08) but provides no MCP-specific mitigations, liability guidance, or cryptographic requirements.</w:t>
      </w:r>
    </w:p>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2. Project Objectives</w:t>
      </w:r>
    </w:p>
    <w:p>
      <w:pPr>
        <w:pStyle w:val="Heading2"/>
        <w:spacing w:after="100" w:before="260"/>
      </w:pPr>
      <w:r>
        <w:rPr>
          <w:rFonts w:ascii="Arial" w:cs="Arial" w:eastAsia="Arial" w:hAnsi="Arial"/>
          <w:b/>
          <w:bCs/>
          <w:i w:val="false"/>
          <w:iCs w:val="false"/>
          <w:color w:val="1A5276"/>
          <w:sz w:val="26"/>
          <w:szCs w:val="26"/>
        </w:rPr>
        <w:t xml:space="preserve">2.1 Primary Objectives</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1F4E79"/>
          <w:sz w:val="22"/>
          <w:szCs w:val="22"/>
        </w:rPr>
        <w:t xml:space="preserve">Objective 1 — </w:t>
      </w:r>
      <w:r>
        <w:rPr>
          <w:rFonts w:ascii="Arial" w:cs="Arial" w:eastAsia="Arial" w:hAnsi="Arial"/>
          <w:b w:val="false"/>
          <w:bCs w:val="false"/>
          <w:i w:val="false"/>
          <w:iCs w:val="false"/>
          <w:color w:val="000000"/>
          <w:sz w:val="22"/>
          <w:szCs w:val="22"/>
        </w:rPr>
        <w:t xml:space="preserve">Threat Taxonomy: Develop a formally structured taxonomy of MCP-based attack vectors categorized by attack surface, attacker capability, impact severity, cryptographic exploitability, and regulatory trigger.</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1F4E79"/>
          <w:sz w:val="22"/>
          <w:szCs w:val="22"/>
        </w:rPr>
        <w:t xml:space="preserve">Objective 2 — </w:t>
      </w:r>
      <w:r>
        <w:rPr>
          <w:rFonts w:ascii="Arial" w:cs="Arial" w:eastAsia="Arial" w:hAnsi="Arial"/>
          <w:b w:val="false"/>
          <w:bCs w:val="false"/>
          <w:i w:val="false"/>
          <w:iCs w:val="false"/>
          <w:color w:val="000000"/>
          <w:sz w:val="22"/>
          <w:szCs w:val="22"/>
        </w:rPr>
        <w:t xml:space="preserve">MCPoisoner (Red-Team Toolkit): Build an offensive security toolkit demonstrating at least five distinct MCP attack classes against LangChain, CrewAI, and AutoGen across four LLM backends (GPT-4o, Claude Sonnet, Gemini 2.5, Llama-3.1-70B). All red-team activities will follow a formal Coordinated Vulnerability Disclosure (CVD) protocol.</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1F4E79"/>
          <w:sz w:val="22"/>
          <w:szCs w:val="22"/>
        </w:rPr>
        <w:t xml:space="preserve">Objective 3 — </w:t>
      </w:r>
      <w:r>
        <w:rPr>
          <w:rFonts w:ascii="Arial" w:cs="Arial" w:eastAsia="Arial" w:hAnsi="Arial"/>
          <w:b w:val="false"/>
          <w:bCs w:val="false"/>
          <w:i w:val="false"/>
          <w:iCs w:val="false"/>
          <w:color w:val="000000"/>
          <w:sz w:val="22"/>
          <w:szCs w:val="22"/>
        </w:rPr>
        <w:t xml:space="preserve">MCPShield (Defense Framework): Design and implement a multi-layered defense system with three integrated layers — Static Analysis, Runtime Monitoring, and Policy Enforcement — each mapped to organizational controls and regulatory compliance checkpoints.</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4A235A"/>
          <w:sz w:val="22"/>
          <w:szCs w:val="22"/>
        </w:rPr>
        <w:t xml:space="preserve">Objective 4 — </w:t>
      </w:r>
      <w:r>
        <w:rPr>
          <w:rFonts w:ascii="Arial" w:cs="Arial" w:eastAsia="Arial" w:hAnsi="Arial"/>
          <w:b w:val="false"/>
          <w:bCs w:val="false"/>
          <w:i w:val="false"/>
          <w:iCs w:val="false"/>
          <w:color w:val="000000"/>
          <w:sz w:val="22"/>
          <w:szCs w:val="22"/>
        </w:rPr>
        <w:t xml:space="preserve">CryptoMCP (Cryptographic Integrity Layer): Design and prototype a cryptographic attestation system for MCP tool descriptions using digital signatures, PKI-based publisher authentication, and hash-based runtime integrity verification. This creates the technical foundation for a trustworthy MCP tool ecosystem.</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1A5276"/>
          <w:sz w:val="22"/>
          <w:szCs w:val="22"/>
        </w:rPr>
        <w:t xml:space="preserve">Objective 5 — </w:t>
      </w:r>
      <w:r>
        <w:rPr>
          <w:rFonts w:ascii="Arial" w:cs="Arial" w:eastAsia="Arial" w:hAnsi="Arial"/>
          <w:b w:val="false"/>
          <w:bCs w:val="false"/>
          <w:i w:val="false"/>
          <w:iCs w:val="false"/>
          <w:color w:val="000000"/>
          <w:sz w:val="22"/>
          <w:szCs w:val="22"/>
        </w:rPr>
        <w:t xml:space="preserve">MCP Governance Framework: Define the security obligations, liability exposure, and recommended controls for each actor in the MCP ecosystem. Produce a Shared Responsibility Model analogous to cloud computing's AWS model, adapted for AI agent supply chains.</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after="40" w:before="40"/>
      </w:pPr>
      <w:r>
        <w:rPr>
          <w:rFonts w:ascii="Arial" w:cs="Arial" w:eastAsia="Arial" w:hAnsi="Arial"/>
          <w:b/>
          <w:bCs/>
          <w:i w:val="false"/>
          <w:iCs w:val="false"/>
          <w:color w:val="1A5276"/>
          <w:sz w:val="22"/>
          <w:szCs w:val="22"/>
        </w:rPr>
        <w:t xml:space="preserve">Objective 6 — </w:t>
      </w:r>
      <w:r>
        <w:rPr>
          <w:rFonts w:ascii="Arial" w:cs="Arial" w:eastAsia="Arial" w:hAnsi="Arial"/>
          <w:b w:val="false"/>
          <w:bCs w:val="false"/>
          <w:i w:val="false"/>
          <w:iCs w:val="false"/>
          <w:color w:val="000000"/>
          <w:sz w:val="22"/>
          <w:szCs w:val="22"/>
        </w:rPr>
        <w:t xml:space="preserve">MCP Security and Compliance Standard: Draft an industry best practices document aligned with OWASP LLM Top 10, NIST AI RMF 1.0, the EU AI Act, and GDPR, suitable for submission to ENISA and NIST NCCoE working groups.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2.2 Secondary Objectives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Evaluate defenses against adaptive adversaries who evolve attacks after observing the defense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Benchmark detection accuracy (precision, recall, F1-score, false positive rate) across all attack types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Measure cryptographic overhead (latency, computational cost) of CryptoMCP at scale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Produce an Enterprise MCP Risk Assessment Template using FAIR (Factor Analysis of Information Risk) methodology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Produce a conference-quality paper targeting USENIX Security, NDSS, or ACM CCS workshops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Produce a policy white paper suitable for ENISA, NIST NCCoE, or Brookings CSET submission</w:t>
      </w:r>
    </w:p>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3. Background and Literature Review</w:t>
      </w:r>
    </w:p>
    <w:p>
      <w:pPr>
        <w:pStyle w:val="Heading2"/>
        <w:spacing w:after="100" w:before="260"/>
      </w:pPr>
      <w:r>
        <w:rPr>
          <w:rFonts w:ascii="Arial" w:cs="Arial" w:eastAsia="Arial" w:hAnsi="Arial"/>
          <w:b/>
          <w:bCs/>
          <w:i w:val="false"/>
          <w:iCs w:val="false"/>
          <w:color w:val="1A5276"/>
          <w:sz w:val="26"/>
          <w:szCs w:val="26"/>
        </w:rPr>
        <w:t xml:space="preserve">3.1 The Model Context Protocol (MCP)</w:t>
      </w:r>
    </w:p>
    <w:p>
      <w:pPr>
        <w:spacing w:after="120" w:before="60"/>
        <w:jc w:val="both"/>
      </w:pPr>
      <w:r>
        <w:rPr>
          <w:rFonts w:ascii="Arial" w:cs="Arial" w:eastAsia="Arial" w:hAnsi="Arial"/>
          <w:b w:val="false"/>
          <w:bCs w:val="false"/>
          <w:i w:val="false"/>
          <w:iCs w:val="false"/>
          <w:color w:val="000000"/>
          <w:sz w:val="22"/>
          <w:szCs w:val="22"/>
        </w:rPr>
        <w:t xml:space="preserve">MCP was open-sourced by Anthropic in November 2024 as a standardized JSON-RPC-based protocol for LLM-tool communication. It defines a client-server architecture where AI agents (clients) discover and invoke tools exposed by MCP servers. Each tool is described via a JSON schema containing a name, description (natural language), and input parameters. The agent uses these descriptions to decide which tool to call and how to format its inputs.</w:t>
      </w:r>
    </w:p>
    <w:p>
      <w:pPr>
        <w:spacing w:after="120" w:before="60"/>
        <w:jc w:val="both"/>
      </w:pPr>
      <w:r>
        <w:rPr>
          <w:rFonts w:ascii="Arial" w:cs="Arial" w:eastAsia="Arial" w:hAnsi="Arial"/>
          <w:b w:val="false"/>
          <w:bCs w:val="false"/>
          <w:i w:val="false"/>
          <w:iCs w:val="false"/>
          <w:color w:val="000000"/>
          <w:sz w:val="22"/>
          <w:szCs w:val="22"/>
        </w:rPr>
        <w:t xml:space="preserve">The critical security insight is that tool descriptions are processed by the LLM as part of its prompt context — making them a vector for indirect prompt injection at scale. Unlike traditional injection attacks targeting data fields, MCP injection targets the AI's reasoning and decision-making layer directly.</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3.2 Known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Attack Class</w:t>
            </w:r>
          </w:p>
        </w:tc>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Source / Discoverer</w:t>
            </w:r>
          </w:p>
        </w:tc>
        <w:tc>
          <w:tcPr>
            <w:tcW w:type="dxa" w:w="45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 Description Poisoning</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Invariant Labs, 2025</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Hidden instructions in tool descriptions using invisible Unicode characters to override agent behavior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 Shadowing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Trail of Bits, 2025</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Malicious tool mimics legitimate tool name/description to intercept calls as man-in-the-middle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Rug-Pull Attacks</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Community Research, 2025</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Tools pass initial audit then change descriptions after trust is established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Cross-Tool Contamination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 Research, 2025</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Poisoned return values from one tool manipulate behavior in subsequent tool interactions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RAGPoison via MCP</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Snyk, August 2025</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 servers providing RAG-style retrieval inject poisoned embeddings persisting across sessions</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3.3 Cryptographic Foundations and Applicability</w:t>
      </w:r>
    </w:p>
    <w:p>
      <w:pPr>
        <w:spacing w:after="120" w:before="60"/>
        <w:jc w:val="both"/>
      </w:pPr>
      <w:r>
        <w:rPr>
          <w:rFonts w:ascii="Arial" w:cs="Arial" w:eastAsia="Arial" w:hAnsi="Arial"/>
          <w:b w:val="false"/>
          <w:bCs w:val="false"/>
          <w:i w:val="false"/>
          <w:iCs w:val="false"/>
          <w:color w:val="000000"/>
          <w:sz w:val="22"/>
          <w:szCs w:val="22"/>
        </w:rPr>
        <w:t xml:space="preserve">The cryptographic techniques proposed for CryptoMCP are mature and well-understood. Their application to the MCP context is novel:</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Digital Signatures (ECDSA / Ed25519): Standard asymmetric signing algorithms that enable a publisher to sign a tool description at creation time, and any party to verify it without holding the private key. Ed25519 is preferred for its small key size, fast verification, and resistance to side-channel attacks.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Hash-Based Integrity Verification (SHA-256 / SHA-3): Cryptographic hash functions that produce a fixed-length digest of a tool description. Any modification — including a single invisible Unicode character — produces a completely different hash, immediately detectable.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Public Key Infrastructure (PKI) for Publisher Authentication: X.509 certificate chains enable a trust hierarchy where a root Certificate Authority (CA) vouches for MCP server publishers, and clients can verify publisher identity before trusting any tool description.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Merkle Trees for Audit Logging: Hash-chained audit logs where each runtime tool invocation is recorded in a Merkle tree, enabling tamper-evident proof that no tool description changed between audit and deployment.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TLS Mutual Authentication (mTLS): Extends standard TLS to require the MCP server (not just the client) to present a certificate, preventing tool shadowing attacks that rely on impersonating legitimate servers.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3.4 The Legal and Regulatory Landscape</w:t>
      </w:r>
    </w:p>
    <w:p>
      <w:pPr>
        <w:spacing w:after="120" w:before="60"/>
        <w:jc w:val="both"/>
      </w:pPr>
      <w:r>
        <w:rPr>
          <w:rFonts w:ascii="Arial" w:cs="Arial" w:eastAsia="Arial" w:hAnsi="Arial"/>
          <w:b w:val="false"/>
          <w:bCs w:val="false"/>
          <w:i w:val="false"/>
          <w:iCs w:val="false"/>
          <w:color w:val="000000"/>
          <w:sz w:val="22"/>
          <w:szCs w:val="22"/>
        </w:rPr>
        <w:t xml:space="preserve">No existing legal or regulatory framework directly addresses MCP-specific risks. However, several regulations create relevant obligations that MCP attacks could trigger: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EU AI Act (2024): Articles 6-9 establish risk classification and mandatory risk management systems for high-risk AI applications. Article 9 explicitly requires technical and organizational measures — but provides no guidance for supply chain poisoning.</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GDPR Article 22: Restricts automated decision-making with significant effects on individuals. An AI agent executing poisoned tool instructions that modifies financial records could trigger Article 22 violations.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CCPA / US State Privacy Laws: Data exfiltration via MCP attacks could trigger breach notification obligations under 15+ state laws. Liability allocation between platform vendors and enterprise deployers remains legally unsettled.</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NIST AI RMF 1.0 (2024): The GOVERN, MAP, MEASURE, and MANAGE functions provide a voluntary framework applicable to AI agent deployment, but the framework predates MCP and contains no supply chain-specific guidance.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FTC AI Guidelines (2025): Enterprises that market AI agent products without disclosing MCP supply chain risks may face unfair/deceptive trade practice liability.</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3.5 Organizational Risk Management Gaps</w:t>
      </w:r>
    </w:p>
    <w:p>
      <w:pPr>
        <w:spacing w:after="120" w:before="60"/>
        <w:jc w:val="both"/>
      </w:pPr>
      <w:r>
        <w:rPr>
          <w:rFonts w:ascii="Arial" w:cs="Arial" w:eastAsia="Arial" w:hAnsi="Arial"/>
          <w:b w:val="false"/>
          <w:bCs w:val="false"/>
          <w:i w:val="false"/>
          <w:iCs w:val="false"/>
          <w:color w:val="000000"/>
          <w:sz w:val="22"/>
          <w:szCs w:val="22"/>
        </w:rPr>
        <w:t xml:space="preserve">Enterprise risk management frameworks — including ISO 27001, SOC 2 Type II, and NIST CSF 2.0 — address software supply chain risks in traditional contexts but lack controls specific to AI agent tool ecosystems: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standard vendor assessment questionnaire includes MCP server evaluation criteria or cryptographic attestation requirements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established incident response playbook exists for AI agent supply chain compromise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FAIR methodology has not been applied to quantify MCP attack exposure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No certification or audit standard exists for MCP server publishers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3.6 Gaps in Current Research</w:t>
      </w:r>
    </w:p>
    <w:p>
      <w:pPr>
        <w:spacing w:after="120" w:before="60"/>
        <w:jc w:val="both"/>
      </w:pPr>
      <w:r>
        <w:rPr>
          <w:rFonts w:ascii="Arial" w:cs="Arial" w:eastAsia="Arial" w:hAnsi="Arial"/>
          <w:b w:val="false"/>
          <w:bCs w:val="false"/>
          <w:i w:val="false"/>
          <w:iCs w:val="false"/>
          <w:color w:val="000000"/>
          <w:sz w:val="22"/>
          <w:szCs w:val="22"/>
        </w:rPr>
        <w:t xml:space="preserve">Existing work is predominantly proof-of-concept blog posts and isolated demonstrations. No study has: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Systematically evaluated attack success rates across multiple LLM backends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Proposed or evaluated automated detection mechanisms with benchmark metrics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Addressed the adaptive adversary problem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Proposed a cryptographic integrity layer for MCP tool descriptions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Mapped MCP threats to established legal and regulatory frameworks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Defined the liability and governance responsibilities of MCP ecosystem actors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Provided enterprise-deployable defense tooling with compliance mapping</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3.7 Key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Reference</w:t>
            </w:r>
          </w:p>
        </w:tc>
        <w:tc>
          <w:tcPr>
            <w:tcW w:type="dxa" w:w="58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Relevance to This Project</w:t>
            </w:r>
          </w:p>
        </w:tc>
      </w:tr>
      <w:tr>
        <w:tc>
          <w:tcPr>
            <w:tcW w:type="dxa" w:w="3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Ferrag et al. (2025), ScienceDirect</w:t>
            </w:r>
          </w:p>
        </w:tc>
        <w:tc>
          <w:tcPr>
            <w:tcW w:type="dxa" w:w="58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Prompt injection and protocol exploits in LLM agent workflows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OWASP LLM Top 10 v2.0 (2025)</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LLM03 (Supply Chain), LLM08 (Excessive Agency) — baseline threat taxonomy</w:t>
            </w:r>
          </w:p>
        </w:tc>
      </w:tr>
      <w:tr>
        <w:tc>
          <w:tcPr>
            <w:tcW w:type="dxa" w:w="3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Invariant Labs MCP Security Audit (2025)</w:t>
            </w:r>
          </w:p>
        </w:tc>
        <w:tc>
          <w:tcPr>
            <w:tcW w:type="dxa" w:w="58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 poisoning PoC — foundational attack demonstration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Greshake et al. (2023), ACM CCS</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Indirect prompt injection — theoretical foundation for MCP attacks</w:t>
            </w:r>
          </w:p>
        </w:tc>
      </w:tr>
      <w:tr>
        <w:tc>
          <w:tcPr>
            <w:tcW w:type="dxa" w:w="3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NIST AI RMF 1.0 (2024)</w:t>
            </w:r>
          </w:p>
        </w:tc>
        <w:tc>
          <w:tcPr>
            <w:tcW w:type="dxa" w:w="58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Governance framework — GOVERN/MAP/MEASURE/MANAGE functions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EU AI Act (2024)</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Legal and compliance framework for high-risk AI deployments</w:t>
            </w:r>
          </w:p>
        </w:tc>
      </w:tr>
      <w:tr>
        <w:tc>
          <w:tcPr>
            <w:tcW w:type="dxa" w:w="3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Bernstein et al. (2012), USENIX</w:t>
            </w:r>
          </w:p>
        </w:tc>
        <w:tc>
          <w:tcPr>
            <w:tcW w:type="dxa" w:w="58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Ed25519: High-speed high-security signatures — cryptographic foundation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Snyk RAGPoison (2025)</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Persistent MCP-based memory poisoning</w:t>
            </w:r>
          </w:p>
        </w:tc>
      </w:tr>
      <w:tr>
        <w:tc>
          <w:tcPr>
            <w:tcW w:type="dxa" w:w="3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MITRE ATLAS (2024)</w:t>
            </w:r>
          </w:p>
        </w:tc>
        <w:tc>
          <w:tcPr>
            <w:tcW w:type="dxa" w:w="58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Adversarial ML threat taxonomy — extended in this project</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RFC 5280 (2008), IETF</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X.509 PKI standard — foundation for CryptoMCP publisher authentication</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4. System Architecture and Workflows</w:t>
      </w:r>
    </w:p>
    <w:p>
      <w:pPr>
        <w:spacing w:after="120" w:before="60"/>
        <w:jc w:val="both"/>
      </w:pPr>
      <w:r>
        <w:rPr>
          <w:rFonts w:ascii="Arial" w:cs="Arial" w:eastAsia="Arial" w:hAnsi="Arial"/>
          <w:b w:val="false"/>
          <w:bCs w:val="false"/>
          <w:i w:val="false"/>
          <w:iCs w:val="false"/>
          <w:color w:val="000000"/>
          <w:sz w:val="22"/>
          <w:szCs w:val="22"/>
        </w:rPr>
        <w:t xml:space="preserve">This section presents the complete system architecture, component interactions, and key workflows for all three technical systems: MCPoisoner, MCPShield, and CryptoMCP. These diagrams serve as the blueprint for implementation in Section 5.</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4.1 Overall MCP Security Architecture</w:t>
      </w:r>
    </w:p>
    <w:p>
      <w:pPr>
        <w:spacing w:after="120" w:before="60"/>
        <w:jc w:val="both"/>
      </w:pPr>
      <w:r>
        <w:rPr>
          <w:rFonts w:ascii="Arial" w:cs="Arial" w:eastAsia="Arial" w:hAnsi="Arial"/>
          <w:b w:val="false"/>
          <w:bCs w:val="false"/>
          <w:i w:val="false"/>
          <w:iCs w:val="false"/>
          <w:color w:val="000000"/>
          <w:sz w:val="22"/>
          <w:szCs w:val="22"/>
        </w:rPr>
        <w:t xml:space="preserve">The diagram below shows how MCPShield and CryptoMCP sit within the MCP ecosystem, intercepting communications between the AI agent and external tools:</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AI AGENT LAYER                              │</w:t>
            </w:r>
          </w:p>
          <w:p>
            <w:pPr>
              <w:spacing w:after="0" w:before="0"/>
            </w:pPr>
            <w:r>
              <w:rPr>
                <w:rFonts w:ascii="Courier New" w:cs="Courier New" w:eastAsia="Courier New" w:hAnsi="Courier New"/>
                <w:color w:val="1A1A1A"/>
                <w:sz w:val="18"/>
                <w:szCs w:val="18"/>
              </w:rPr>
              <w:t xml:space="preserve">  │   ┌──────────┐     ┌──────────┐     ┌──────────┐  ┌──────────┐   │</w:t>
            </w:r>
          </w:p>
          <w:p>
            <w:pPr>
              <w:spacing w:after="0" w:before="0"/>
            </w:pPr>
            <w:r>
              <w:rPr>
                <w:rFonts w:ascii="Courier New" w:cs="Courier New" w:eastAsia="Courier New" w:hAnsi="Courier New"/>
                <w:color w:val="1A1A1A"/>
                <w:sz w:val="18"/>
                <w:szCs w:val="18"/>
              </w:rPr>
              <w:t xml:space="preserve">  │   │ LangChain│     │  CrewAI  │     │ AutoGen  │  │ Custom   │   │</w:t>
            </w:r>
          </w:p>
          <w:p>
            <w:pPr>
              <w:spacing w:after="0" w:before="0"/>
            </w:pPr>
            <w:r>
              <w:rPr>
                <w:rFonts w:ascii="Courier New" w:cs="Courier New" w:eastAsia="Courier New" w:hAnsi="Courier New"/>
                <w:color w:val="1A1A1A"/>
                <w:sz w:val="18"/>
                <w:szCs w:val="18"/>
              </w:rPr>
              <w:t xml:space="preserve">  │   └────┬─────┘     └────┬─────┘     └────┬─────┘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JSON-RPC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MCPShield INTERCEPTION LAYER                   │</w:t>
            </w:r>
          </w:p>
          <w:p>
            <w:pPr>
              <w:spacing w:after="0" w:before="0"/>
            </w:pPr>
            <w:r>
              <w:rPr>
                <w:rFonts w:ascii="Courier New" w:cs="Courier New" w:eastAsia="Courier New" w:hAnsi="Courier New"/>
                <w:color w:val="1A1A1A"/>
                <w:sz w:val="18"/>
                <w:szCs w:val="18"/>
              </w:rPr>
              <w:t xml:space="preserve">  │  ┌─────────────────┐  ┌──────────────────┐  ┌─────────────────┐  │</w:t>
            </w:r>
          </w:p>
          <w:p>
            <w:pPr>
              <w:spacing w:after="0" w:before="0"/>
            </w:pPr>
            <w:r>
              <w:rPr>
                <w:rFonts w:ascii="Courier New" w:cs="Courier New" w:eastAsia="Courier New" w:hAnsi="Courier New"/>
                <w:color w:val="1A1A1A"/>
                <w:sz w:val="18"/>
                <w:szCs w:val="18"/>
              </w:rPr>
              <w:t xml:space="preserve">  │  │  Static Scanner │  │ Runtime Monitor  │  │  Policy Engine  │  │</w:t>
            </w:r>
          </w:p>
          <w:p>
            <w:pPr>
              <w:spacing w:after="0" w:before="0"/>
            </w:pPr>
            <w:r>
              <w:rPr>
                <w:rFonts w:ascii="Courier New" w:cs="Courier New" w:eastAsia="Courier New" w:hAnsi="Courier New"/>
                <w:color w:val="1A1A1A"/>
                <w:sz w:val="18"/>
                <w:szCs w:val="18"/>
              </w:rPr>
              <w:t xml:space="preserve">  │  │ (pre-deploy NLP)│  │ (behavioral ML)  │  │  (YAML rules)   │  │</w:t>
            </w:r>
          </w:p>
          <w:p>
            <w:pPr>
              <w:spacing w:after="0" w:before="0"/>
            </w:pPr>
            <w:r>
              <w:rPr>
                <w:rFonts w:ascii="Courier New" w:cs="Courier New" w:eastAsia="Courier New" w:hAnsi="Courier New"/>
                <w:color w:val="1A1A1A"/>
                <w:sz w:val="18"/>
                <w:szCs w:val="18"/>
              </w:rPr>
              <w:t xml:space="preserve">  │  └────────┬────────┘  └────────┬─────────┘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CryptoMCP INTEGRITY LAYER                     │</w:t>
            </w:r>
          </w:p>
          <w:p>
            <w:pPr>
              <w:spacing w:after="0" w:before="0"/>
            </w:pPr>
            <w:r>
              <w:rPr>
                <w:rFonts w:ascii="Courier New" w:cs="Courier New" w:eastAsia="Courier New" w:hAnsi="Courier New"/>
                <w:color w:val="1A1A1A"/>
                <w:sz w:val="18"/>
                <w:szCs w:val="18"/>
              </w:rPr>
              <w:t xml:space="preserve">  │  ┌──────────────┐  ┌─────────────────┐  ┌──────────────────┐    │</w:t>
            </w:r>
          </w:p>
          <w:p>
            <w:pPr>
              <w:spacing w:after="0" w:before="0"/>
            </w:pPr>
            <w:r>
              <w:rPr>
                <w:rFonts w:ascii="Courier New" w:cs="Courier New" w:eastAsia="Courier New" w:hAnsi="Courier New"/>
                <w:color w:val="1A1A1A"/>
                <w:sz w:val="18"/>
                <w:szCs w:val="18"/>
              </w:rPr>
              <w:t xml:space="preserve">  │  │  Sig Verify  │  │  Hash Check     │  │  PKI Auth        │    │</w:t>
            </w:r>
          </w:p>
          <w:p>
            <w:pPr>
              <w:spacing w:after="0" w:before="0"/>
            </w:pPr>
            <w:r>
              <w:rPr>
                <w:rFonts w:ascii="Courier New" w:cs="Courier New" w:eastAsia="Courier New" w:hAnsi="Courier New"/>
                <w:color w:val="1A1A1A"/>
                <w:sz w:val="18"/>
                <w:szCs w:val="18"/>
              </w:rPr>
              <w:t xml:space="preserve">  │  │  (Ed25519)   │  │  (SHA-256 diff) │  │  (X.509 chain)   │    │</w:t>
            </w:r>
          </w:p>
          <w:p>
            <w:pPr>
              <w:spacing w:after="0" w:before="0"/>
            </w:pPr>
            <w:r>
              <w:rPr>
                <w:rFonts w:ascii="Courier New" w:cs="Courier New" w:eastAsia="Courier New" w:hAnsi="Courier New"/>
                <w:color w:val="1A1A1A"/>
                <w:sz w:val="18"/>
                <w:szCs w:val="18"/>
              </w:rPr>
              <w:t xml:space="preserve">  │  └──────────────┘  └─────────────────┘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Verified + Monitored MCP Traffic</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MCP SERVER LAYER                           │</w:t>
            </w:r>
          </w:p>
          <w:p>
            <w:pPr>
              <w:spacing w:after="0" w:before="0"/>
            </w:pPr>
            <w:r>
              <w:rPr>
                <w:rFonts w:ascii="Courier New" w:cs="Courier New" w:eastAsia="Courier New" w:hAnsi="Courier New"/>
                <w:color w:val="1A1A1A"/>
                <w:sz w:val="18"/>
                <w:szCs w:val="18"/>
              </w:rPr>
              <w:t xml:space="preserve">  │  ┌──────────┐  ┌──────────┐  ┌──────────┐  ┌──────────────┐   │</w:t>
            </w:r>
          </w:p>
          <w:p>
            <w:pPr>
              <w:spacing w:after="0" w:before="0"/>
            </w:pPr>
            <w:r>
              <w:rPr>
                <w:rFonts w:ascii="Courier New" w:cs="Courier New" w:eastAsia="Courier New" w:hAnsi="Courier New"/>
                <w:color w:val="1A1A1A"/>
                <w:sz w:val="18"/>
                <w:szCs w:val="18"/>
              </w:rPr>
              <w:t xml:space="preserve">  │  │ DB Tool  │  │ File Tool│  │ API Tool │  │ Code Exec    │   │</w:t>
            </w:r>
          </w:p>
          <w:p>
            <w:pPr>
              <w:spacing w:after="0" w:before="0"/>
            </w:pPr>
            <w:r>
              <w:rPr>
                <w:rFonts w:ascii="Courier New" w:cs="Courier New" w:eastAsia="Courier New" w:hAnsi="Courier New"/>
                <w:color w:val="1A1A1A"/>
                <w:sz w:val="18"/>
                <w:szCs w:val="18"/>
              </w:rPr>
              <w:t xml:space="preserve">  │  │(signed)  │  │(signed)  │  │(signed)  │  │(signed)      │   │</w:t>
            </w:r>
          </w:p>
          <w:p>
            <w:pPr>
              <w:spacing w:after="0" w:before="0"/>
            </w:pPr>
            <w:r>
              <w:rPr>
                <w:rFonts w:ascii="Courier New" w:cs="Courier New" w:eastAsia="Courier New" w:hAnsi="Courier New"/>
                <w:color w:val="1A1A1A"/>
                <w:sz w:val="18"/>
                <w:szCs w:val="18"/>
              </w:rPr>
              <w:t xml:space="preserve">  │  └──────────┘  └──────────┘  └──────────┘  └──────────────┘   │</w:t>
            </w:r>
          </w:p>
          <w:p>
            <w:pPr>
              <w:spacing w:after="0" w:before="0"/>
            </w:pPr>
            <w:r>
              <w:rPr>
                <w:rFonts w:ascii="Courier New" w:cs="Courier New" w:eastAsia="Courier New" w:hAnsi="Courier New"/>
                <w:color w:val="1A1A1A"/>
                <w:sz w:val="18"/>
                <w:szCs w:val="18"/>
              </w:rPr>
              <w:t xml:space="preserve">  └─────────────────────────────────────────────────────────────────┘</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4.2 CryptoMCP Architecture — Tool Description Signing Workflow</w:t>
      </w:r>
    </w:p>
    <w:p>
      <w:pPr>
        <w:spacing w:after="120" w:before="60"/>
        <w:jc w:val="both"/>
      </w:pPr>
      <w:r>
        <w:rPr>
          <w:rFonts w:ascii="Arial" w:cs="Arial" w:eastAsia="Arial" w:hAnsi="Arial"/>
          <w:b w:val="false"/>
          <w:bCs w:val="false"/>
          <w:i w:val="false"/>
          <w:iCs w:val="false"/>
          <w:color w:val="000000"/>
          <w:sz w:val="22"/>
          <w:szCs w:val="22"/>
        </w:rPr>
        <w:t xml:space="preserve">The following workflow shows how a tool publisher signs a tool description, and how MCPShield verifies it before allowing the agent to use the tool:</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PUBLISH TIME (MCP Server Publisher)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1. Publisher generates Ed25519 key pair                                </w:t>
            </w:r>
          </w:p>
          <w:p>
            <w:pPr>
              <w:spacing w:after="0" w:before="0"/>
            </w:pPr>
            <w:r>
              <w:rPr>
                <w:rFonts w:ascii="Courier New" w:cs="Courier New" w:eastAsia="Courier New" w:hAnsi="Courier New"/>
                <w:color w:val="1A1A1A"/>
                <w:sz w:val="18"/>
                <w:szCs w:val="18"/>
              </w:rPr>
              <w:t xml:space="preserve">     private_key, public_key = Ed25519.generate()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2. Publisher creates tool description JSON                             </w:t>
            </w:r>
          </w:p>
          <w:p>
            <w:pPr>
              <w:spacing w:after="0" w:before="0"/>
            </w:pPr>
            <w:r>
              <w:rPr>
                <w:rFonts w:ascii="Courier New" w:cs="Courier New" w:eastAsia="Courier New" w:hAnsi="Courier New"/>
                <w:color w:val="1A1A1A"/>
                <w:sz w:val="18"/>
                <w:szCs w:val="18"/>
              </w:rPr>
              <w:t xml:space="preserve">     tool = { name, description, parameters, version, timestamp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3. Publisher computes SHA-256 hash of canonical tool JSON              </w:t>
            </w:r>
          </w:p>
          <w:p>
            <w:pPr>
              <w:spacing w:after="0" w:before="0"/>
            </w:pPr>
            <w:r>
              <w:rPr>
                <w:rFonts w:ascii="Courier New" w:cs="Courier New" w:eastAsia="Courier New" w:hAnsi="Courier New"/>
                <w:color w:val="1A1A1A"/>
                <w:sz w:val="18"/>
                <w:szCs w:val="18"/>
              </w:rPr>
              <w:t xml:space="preserve">     tool_hash = SHA256(canonicalize(tool))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4. Publisher signs the hash                                            </w:t>
            </w:r>
          </w:p>
          <w:p>
            <w:pPr>
              <w:spacing w:after="0" w:before="0"/>
            </w:pPr>
            <w:r>
              <w:rPr>
                <w:rFonts w:ascii="Courier New" w:cs="Courier New" w:eastAsia="Courier New" w:hAnsi="Courier New"/>
                <w:color w:val="1A1A1A"/>
                <w:sz w:val="18"/>
                <w:szCs w:val="18"/>
              </w:rPr>
              <w:t xml:space="preserve">     signature = Ed25519.sign(private_key, tool_hash)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5. Publisher submits public_key + cert chain to MCP Trust Registry     </w:t>
            </w:r>
          </w:p>
          <w:p>
            <w:pPr>
              <w:spacing w:after="0" w:before="0"/>
            </w:pPr>
            <w:r>
              <w:rPr>
                <w:rFonts w:ascii="Courier New" w:cs="Courier New" w:eastAsia="Courier New" w:hAnsi="Courier New"/>
                <w:color w:val="1A1A1A"/>
                <w:sz w:val="18"/>
                <w:szCs w:val="18"/>
              </w:rPr>
              <w:t xml:space="preserve">     Registry issues X.509 cert binding publisher identity to public_key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6. Tool descriptor bundle published:                                   </w:t>
            </w:r>
          </w:p>
          <w:p>
            <w:pPr>
              <w:spacing w:after="0" w:before="0"/>
            </w:pPr>
            <w:r>
              <w:rPr>
                <w:rFonts w:ascii="Courier New" w:cs="Courier New" w:eastAsia="Courier New" w:hAnsi="Courier New"/>
                <w:color w:val="1A1A1A"/>
                <w:sz w:val="18"/>
                <w:szCs w:val="18"/>
              </w:rPr>
              <w:t xml:space="preserve">     { tool, signature, publisher_cert, trust_registry_url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RUNTIME (MCPShield CryptoMCP Layer — before agent sees tool)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1. MCPShield intercepts incoming tool descriptor bundle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2. Verify publisher certificate against Trust Registry                 </w:t>
            </w:r>
          </w:p>
          <w:p>
            <w:pPr>
              <w:spacing w:after="0" w:before="0"/>
            </w:pPr>
            <w:r>
              <w:rPr>
                <w:rFonts w:ascii="Courier New" w:cs="Courier New" w:eastAsia="Courier New" w:hAnsi="Courier New"/>
                <w:color w:val="1A1A1A"/>
                <w:sz w:val="18"/>
                <w:szCs w:val="18"/>
              </w:rPr>
              <w:t xml:space="preserve">     cert_valid = PKI.verify(publisher_cert, trust_registry)            </w:t>
            </w:r>
          </w:p>
          <w:p>
            <w:pPr>
              <w:spacing w:after="0" w:before="0"/>
            </w:pPr>
            <w:r>
              <w:rPr>
                <w:rFonts w:ascii="Courier New" w:cs="Courier New" w:eastAsia="Courier New" w:hAnsi="Courier New"/>
                <w:color w:val="1A1A1A"/>
                <w:sz w:val="18"/>
                <w:szCs w:val="18"/>
              </w:rPr>
              <w:t xml:space="preserve">     if !cert_valid → REJECT, alert, log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3. Recompute hash of received tool description                         </w:t>
            </w:r>
          </w:p>
          <w:p>
            <w:pPr>
              <w:spacing w:after="0" w:before="0"/>
            </w:pPr>
            <w:r>
              <w:rPr>
                <w:rFonts w:ascii="Courier New" w:cs="Courier New" w:eastAsia="Courier New" w:hAnsi="Courier New"/>
                <w:color w:val="1A1A1A"/>
                <w:sz w:val="18"/>
                <w:szCs w:val="18"/>
              </w:rPr>
              <w:t xml:space="preserve">     received_hash = SHA256(canonicalize(received_tool))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4. Verify signature                                                    </w:t>
            </w:r>
          </w:p>
          <w:p>
            <w:pPr>
              <w:spacing w:after="0" w:before="0"/>
            </w:pPr>
            <w:r>
              <w:rPr>
                <w:rFonts w:ascii="Courier New" w:cs="Courier New" w:eastAsia="Courier New" w:hAnsi="Courier New"/>
                <w:color w:val="1A1A1A"/>
                <w:sz w:val="18"/>
                <w:szCs w:val="18"/>
              </w:rPr>
              <w:t xml:space="preserve">     sig_valid = Ed25519.verify(public_key, received_hash, signature)   </w:t>
            </w:r>
          </w:p>
          <w:p>
            <w:pPr>
              <w:spacing w:after="0" w:before="0"/>
            </w:pPr>
            <w:r>
              <w:rPr>
                <w:rFonts w:ascii="Courier New" w:cs="Courier New" w:eastAsia="Courier New" w:hAnsi="Courier New"/>
                <w:color w:val="1A1A1A"/>
                <w:sz w:val="18"/>
                <w:szCs w:val="18"/>
              </w:rPr>
              <w:t xml:space="preserve">     if !sig_valid → REJECT (description was modified in transit)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5. Compare against approved baseline (rug-pull prevention)            </w:t>
            </w:r>
          </w:p>
          <w:p>
            <w:pPr>
              <w:spacing w:after="0" w:before="0"/>
            </w:pPr>
            <w:r>
              <w:rPr>
                <w:rFonts w:ascii="Courier New" w:cs="Courier New" w:eastAsia="Courier New" w:hAnsi="Courier New"/>
                <w:color w:val="1A1A1A"/>
                <w:sz w:val="18"/>
                <w:szCs w:val="18"/>
              </w:rPr>
              <w:t xml:space="preserve">     if received_hash != approved_hash → REJECT, flag for human review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6. Log Merkle audit entry: hash(prev_entry || timestamp || tool_hash)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7. PASS verified tool descriptor to agent                              </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4.3 MCPShield Defense Workflow — Runtime Attack Detection</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INCOMING JSON-RPC TOOL CALL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Agent → MCPShield Proxy → [INTERCEPTION POINT]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Layer 1: STATIC PRE-DEPLOYMENT CHECK (run once at tool registration)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NLP Classifier: scan description for hidden instructions       │   </w:t>
            </w:r>
          </w:p>
          <w:p>
            <w:pPr>
              <w:spacing w:after="0" w:before="0"/>
            </w:pPr>
            <w:r>
              <w:rPr>
                <w:rFonts w:ascii="Courier New" w:cs="Courier New" w:eastAsia="Courier New" w:hAnsi="Courier New"/>
                <w:color w:val="1A1A1A"/>
                <w:sz w:val="18"/>
                <w:szCs w:val="18"/>
              </w:rPr>
              <w:t xml:space="preserve">  │ Unicode Detector: flag invisible chars, homoglyphs, RTL text   │   </w:t>
            </w:r>
          </w:p>
          <w:p>
            <w:pPr>
              <w:spacing w:after="0" w:before="0"/>
            </w:pPr>
            <w:r>
              <w:rPr>
                <w:rFonts w:ascii="Courier New" w:cs="Courier New" w:eastAsia="Courier New" w:hAnsi="Courier New"/>
                <w:color w:val="1A1A1A"/>
                <w:sz w:val="18"/>
                <w:szCs w:val="18"/>
              </w:rPr>
              <w:t xml:space="preserve">  │ Schema Validator: declared capability vs. required permissions  │   </w:t>
            </w:r>
          </w:p>
          <w:p>
            <w:pPr>
              <w:spacing w:after="0" w:before="0"/>
            </w:pPr>
            <w:r>
              <w:rPr>
                <w:rFonts w:ascii="Courier New" w:cs="Courier New" w:eastAsia="Courier New" w:hAnsi="Courier New"/>
                <w:color w:val="1A1A1A"/>
                <w:sz w:val="18"/>
                <w:szCs w:val="18"/>
              </w:rPr>
              <w:t xml:space="preserve">  │ CryptoMCP Check: signature valid? hash matches approved?       │   </w:t>
            </w:r>
          </w:p>
          <w:p>
            <w:pPr>
              <w:spacing w:after="0" w:before="0"/>
            </w:pPr>
            <w:r>
              <w:rPr>
                <w:rFonts w:ascii="Courier New" w:cs="Courier New" w:eastAsia="Courier New" w:hAnsi="Courier New"/>
                <w:color w:val="1A1A1A"/>
                <w:sz w:val="18"/>
                <w:szCs w:val="18"/>
              </w:rPr>
              <w:t xml:space="preserve">  │ Result: APPROVE / REJECT / FLAG FOR HUMAN REVIEW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Layer 2: RUNTIME BEHAVIORAL MONITOR (every tool invocation)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Behavioral Profile: does this call match historical patterns?  │   </w:t>
            </w:r>
          </w:p>
          <w:p>
            <w:pPr>
              <w:spacing w:after="0" w:before="0"/>
            </w:pPr>
            <w:r>
              <w:rPr>
                <w:rFonts w:ascii="Courier New" w:cs="Courier New" w:eastAsia="Courier New" w:hAnsi="Courier New"/>
                <w:color w:val="1A1A1A"/>
                <w:sz w:val="18"/>
                <w:szCs w:val="18"/>
              </w:rPr>
              <w:t xml:space="preserve">  │ Data Flow Tracker: sensitive data (PII, keys) → unauthorized?  │   </w:t>
            </w:r>
          </w:p>
          <w:p>
            <w:pPr>
              <w:spacing w:after="0" w:before="0"/>
            </w:pPr>
            <w:r>
              <w:rPr>
                <w:rFonts w:ascii="Courier New" w:cs="Courier New" w:eastAsia="Courier New" w:hAnsi="Courier New"/>
                <w:color w:val="1A1A1A"/>
                <w:sz w:val="18"/>
                <w:szCs w:val="18"/>
              </w:rPr>
              <w:t xml:space="preserve">  │ Rate Limiter: unusual invocation frequency?                    │   </w:t>
            </w:r>
          </w:p>
          <w:p>
            <w:pPr>
              <w:spacing w:after="0" w:before="0"/>
            </w:pPr>
            <w:r>
              <w:rPr>
                <w:rFonts w:ascii="Courier New" w:cs="Courier New" w:eastAsia="Courier New" w:hAnsi="Courier New"/>
                <w:color w:val="1A1A1A"/>
                <w:sz w:val="18"/>
                <w:szCs w:val="18"/>
              </w:rPr>
              <w:t xml:space="preserve">  │ Anomaly Score: ML-based deviation from baseline               │   </w:t>
            </w:r>
          </w:p>
          <w:p>
            <w:pPr>
              <w:spacing w:after="0" w:before="0"/>
            </w:pPr>
            <w:r>
              <w:rPr>
                <w:rFonts w:ascii="Courier New" w:cs="Courier New" w:eastAsia="Courier New" w:hAnsi="Courier New"/>
                <w:color w:val="1A1A1A"/>
                <w:sz w:val="18"/>
                <w:szCs w:val="18"/>
              </w:rPr>
              <w:t xml:space="preserve">  │ Result: ALLOW / THROTTLE / BLOCK / ESCALATE TO HUMAN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Layer 3: POLICY ENGINE (configurable rules)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Rule: external_tool cannot access local_filesystem            │   </w:t>
            </w:r>
          </w:p>
          <w:p>
            <w:pPr>
              <w:spacing w:after="0" w:before="0"/>
            </w:pPr>
            <w:r>
              <w:rPr>
                <w:rFonts w:ascii="Courier New" w:cs="Courier New" w:eastAsia="Courier New" w:hAnsi="Courier New"/>
                <w:color w:val="1A1A1A"/>
                <w:sz w:val="18"/>
                <w:szCs w:val="18"/>
              </w:rPr>
              <w:t xml:space="preserve">  │ Rule: credential_access requires human_in_the_loop            │   </w:t>
            </w:r>
          </w:p>
          <w:p>
            <w:pPr>
              <w:spacing w:after="0" w:before="0"/>
            </w:pPr>
            <w:r>
              <w:rPr>
                <w:rFonts w:ascii="Courier New" w:cs="Courier New" w:eastAsia="Courier New" w:hAnsi="Courier New"/>
                <w:color w:val="1A1A1A"/>
                <w:sz w:val="18"/>
                <w:szCs w:val="18"/>
              </w:rPr>
              <w:t xml:space="preserve">  │ Rule: PII_field cannot flow to unverified_publisher           │   </w:t>
            </w:r>
          </w:p>
          <w:p>
            <w:pPr>
              <w:spacing w:after="0" w:before="0"/>
            </w:pPr>
            <w:r>
              <w:rPr>
                <w:rFonts w:ascii="Courier New" w:cs="Courier New" w:eastAsia="Courier New" w:hAnsi="Courier New"/>
                <w:color w:val="1A1A1A"/>
                <w:sz w:val="18"/>
                <w:szCs w:val="18"/>
              </w:rPr>
              <w:t xml:space="preserve">  │ Compliance Template: GDPR / EU AI Act / SOC 2 rule sets       │   </w:t>
            </w:r>
          </w:p>
          <w:p>
            <w:pPr>
              <w:spacing w:after="0" w:before="0"/>
            </w:pPr>
            <w:r>
              <w:rPr>
                <w:rFonts w:ascii="Courier New" w:cs="Courier New" w:eastAsia="Courier New" w:hAnsi="Courier New"/>
                <w:color w:val="1A1A1A"/>
                <w:sz w:val="18"/>
                <w:szCs w:val="18"/>
              </w:rPr>
              <w:t xml:space="preserve">  │ Result: EXECUTE / BLOCK / REQUEST HUMAN APPROVAL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AUDIT LOG: Merkle-chained record of every decision                    </w:t>
            </w:r>
          </w:p>
          <w:p>
            <w:pPr>
              <w:spacing w:after="0" w:before="0"/>
            </w:pPr>
            <w:r>
              <w:rPr>
                <w:rFonts w:ascii="Courier New" w:cs="Courier New" w:eastAsia="Courier New" w:hAnsi="Courier New"/>
                <w:color w:val="1A1A1A"/>
                <w:sz w:val="18"/>
                <w:szCs w:val="18"/>
              </w:rPr>
              <w:t xml:space="preserve">  (tamper-evident, suitable for regulatory breach notification)          </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4.4 MCPoisoner Attack Workflow</w:t>
      </w:r>
    </w:p>
    <w:p>
      <w:pPr>
        <w:spacing w:after="120" w:before="60"/>
        <w:jc w:val="both"/>
      </w:pPr>
      <w:r>
        <w:rPr>
          <w:rFonts w:ascii="Arial" w:cs="Arial" w:eastAsia="Arial" w:hAnsi="Arial"/>
          <w:b w:val="false"/>
          <w:bCs w:val="false"/>
          <w:i w:val="false"/>
          <w:iCs w:val="false"/>
          <w:color w:val="000000"/>
          <w:sz w:val="22"/>
          <w:szCs w:val="22"/>
        </w:rPr>
        <w:t xml:space="preserve">The offensive toolkit simulates real attacker behavior against unprotected and protected MCP deployments:</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MCPoisoner Attack Execution Flow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Config: select attack_class × llm_backend × agent_framework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ATTACK CLASS 1 — Description Injection                         │   </w:t>
            </w:r>
          </w:p>
          <w:p>
            <w:pPr>
              <w:spacing w:after="0" w:before="0"/>
            </w:pPr>
            <w:r>
              <w:rPr>
                <w:rFonts w:ascii="Courier New" w:cs="Courier New" w:eastAsia="Courier New" w:hAnsi="Courier New"/>
                <w:color w:val="1A1A1A"/>
                <w:sz w:val="18"/>
                <w:szCs w:val="18"/>
              </w:rPr>
              <w:t xml:space="preserve">  │  Payload: Unicode steganography in tool description             │   </w:t>
            </w:r>
          </w:p>
          <w:p>
            <w:pPr>
              <w:spacing w:after="0" w:before="0"/>
            </w:pPr>
            <w:r>
              <w:rPr>
                <w:rFonts w:ascii="Courier New" w:cs="Courier New" w:eastAsia="Courier New" w:hAnsi="Courier New"/>
                <w:color w:val="1A1A1A"/>
                <w:sz w:val="18"/>
                <w:szCs w:val="18"/>
              </w:rPr>
              <w:t xml:space="preserve">  │  Method: embed ​​​ (zero-width chars) carrying base64 instructions│   </w:t>
            </w:r>
          </w:p>
          <w:p>
            <w:pPr>
              <w:spacing w:after="0" w:before="0"/>
            </w:pPr>
            <w:r>
              <w:rPr>
                <w:rFonts w:ascii="Courier New" w:cs="Courier New" w:eastAsia="Courier New" w:hAnsi="Courier New"/>
                <w:color w:val="1A1A1A"/>
                <w:sz w:val="18"/>
                <w:szCs w:val="18"/>
              </w:rPr>
              <w:t xml:space="preserve">  │  Target: agent decision-making layer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ATTACK CLASS 2 — Tool Shadowing                                │   </w:t>
            </w:r>
          </w:p>
          <w:p>
            <w:pPr>
              <w:spacing w:after="0" w:before="0"/>
            </w:pPr>
            <w:r>
              <w:rPr>
                <w:rFonts w:ascii="Courier New" w:cs="Courier New" w:eastAsia="Courier New" w:hAnsi="Courier New"/>
                <w:color w:val="1A1A1A"/>
                <w:sz w:val="18"/>
                <w:szCs w:val="18"/>
              </w:rPr>
              <w:t xml:space="preserve">  │  Payload: duplicate tool with identical name + description      │   </w:t>
            </w:r>
          </w:p>
          <w:p>
            <w:pPr>
              <w:spacing w:after="0" w:before="0"/>
            </w:pPr>
            <w:r>
              <w:rPr>
                <w:rFonts w:ascii="Courier New" w:cs="Courier New" w:eastAsia="Courier New" w:hAnsi="Courier New"/>
                <w:color w:val="1A1A1A"/>
                <w:sz w:val="18"/>
                <w:szCs w:val="18"/>
              </w:rPr>
              <w:t xml:space="preserve">  │  Method: register malicious tool with higher priority score     │   </w:t>
            </w:r>
          </w:p>
          <w:p>
            <w:pPr>
              <w:spacing w:after="0" w:before="0"/>
            </w:pPr>
            <w:r>
              <w:rPr>
                <w:rFonts w:ascii="Courier New" w:cs="Courier New" w:eastAsia="Courier New" w:hAnsi="Courier New"/>
                <w:color w:val="1A1A1A"/>
                <w:sz w:val="18"/>
                <w:szCs w:val="18"/>
              </w:rPr>
              <w:t xml:space="preserve">  │  Target: tool routing / selection logic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ATTACK CLASS 3 — Rug-Pull                                      │   </w:t>
            </w:r>
          </w:p>
          <w:p>
            <w:pPr>
              <w:spacing w:after="0" w:before="0"/>
            </w:pPr>
            <w:r>
              <w:rPr>
                <w:rFonts w:ascii="Courier New" w:cs="Courier New" w:eastAsia="Courier New" w:hAnsi="Courier New"/>
                <w:color w:val="1A1A1A"/>
                <w:sz w:val="18"/>
                <w:szCs w:val="18"/>
              </w:rPr>
              <w:t xml:space="preserve">  │  Payload: dynamic description update post-approval              │   </w:t>
            </w:r>
          </w:p>
          <w:p>
            <w:pPr>
              <w:spacing w:after="0" w:before="0"/>
            </w:pPr>
            <w:r>
              <w:rPr>
                <w:rFonts w:ascii="Courier New" w:cs="Courier New" w:eastAsia="Courier New" w:hAnsi="Courier New"/>
                <w:color w:val="1A1A1A"/>
                <w:sz w:val="18"/>
                <w:szCs w:val="18"/>
              </w:rPr>
              <w:t xml:space="preserve">  │  Method: modify tool JSON via server-side update API            │   </w:t>
            </w:r>
          </w:p>
          <w:p>
            <w:pPr>
              <w:spacing w:after="0" w:before="0"/>
            </w:pPr>
            <w:r>
              <w:rPr>
                <w:rFonts w:ascii="Courier New" w:cs="Courier New" w:eastAsia="Courier New" w:hAnsi="Courier New"/>
                <w:color w:val="1A1A1A"/>
                <w:sz w:val="18"/>
                <w:szCs w:val="18"/>
              </w:rPr>
              <w:t xml:space="preserve">  │  Target: trust model / static audit assumptions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ATTACK CLASS 4 — Return Value Poisoning                        │   </w:t>
            </w:r>
          </w:p>
          <w:p>
            <w:pPr>
              <w:spacing w:after="0" w:before="0"/>
            </w:pPr>
            <w:r>
              <w:rPr>
                <w:rFonts w:ascii="Courier New" w:cs="Courier New" w:eastAsia="Courier New" w:hAnsi="Courier New"/>
                <w:color w:val="1A1A1A"/>
                <w:sz w:val="18"/>
                <w:szCs w:val="18"/>
              </w:rPr>
              <w:t xml:space="preserve">  │  Payload: malicious instructions embedded in tool output JSON   │   </w:t>
            </w:r>
          </w:p>
          <w:p>
            <w:pPr>
              <w:spacing w:after="0" w:before="0"/>
            </w:pPr>
            <w:r>
              <w:rPr>
                <w:rFonts w:ascii="Courier New" w:cs="Courier New" w:eastAsia="Courier New" w:hAnsi="Courier New"/>
                <w:color w:val="1A1A1A"/>
                <w:sz w:val="18"/>
                <w:szCs w:val="18"/>
              </w:rPr>
              <w:t xml:space="preserve">  │  Method: tool returns benign data + hidden instruction in field │   </w:t>
            </w:r>
          </w:p>
          <w:p>
            <w:pPr>
              <w:spacing w:after="0" w:before="0"/>
            </w:pPr>
            <w:r>
              <w:rPr>
                <w:rFonts w:ascii="Courier New" w:cs="Courier New" w:eastAsia="Courier New" w:hAnsi="Courier New"/>
                <w:color w:val="1A1A1A"/>
                <w:sz w:val="18"/>
                <w:szCs w:val="18"/>
              </w:rPr>
              <w:t xml:space="preserve">  │  Target: agent memory / context for subsequent tool calls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ATTACK CLASS 5 — Cross-Tool Escalation                         │   </w:t>
            </w:r>
          </w:p>
          <w:p>
            <w:pPr>
              <w:spacing w:after="0" w:before="0"/>
            </w:pPr>
            <w:r>
              <w:rPr>
                <w:rFonts w:ascii="Courier New" w:cs="Courier New" w:eastAsia="Courier New" w:hAnsi="Courier New"/>
                <w:color w:val="1A1A1A"/>
                <w:sz w:val="18"/>
                <w:szCs w:val="18"/>
              </w:rPr>
              <w:t xml:space="preserve">  │  Payload: chain of individually benign tool calls               │   </w:t>
            </w:r>
          </w:p>
          <w:p>
            <w:pPr>
              <w:spacing w:after="0" w:before="0"/>
            </w:pPr>
            <w:r>
              <w:rPr>
                <w:rFonts w:ascii="Courier New" w:cs="Courier New" w:eastAsia="Courier New" w:hAnsi="Courier New"/>
                <w:color w:val="1A1A1A"/>
                <w:sz w:val="18"/>
                <w:szCs w:val="18"/>
              </w:rPr>
              <w:t xml:space="preserve">  │  Method: Tool A reads file → Tool B exfiltrates via web request │   </w:t>
            </w:r>
          </w:p>
          <w:p>
            <w:pPr>
              <w:spacing w:after="0" w:before="0"/>
            </w:pPr>
            <w:r>
              <w:rPr>
                <w:rFonts w:ascii="Courier New" w:cs="Courier New" w:eastAsia="Courier New" w:hAnsi="Courier New"/>
                <w:color w:val="1A1A1A"/>
                <w:sz w:val="18"/>
                <w:szCs w:val="18"/>
              </w:rPr>
              <w:t xml:space="preserve">  │  Target: multi-tool authorization model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Metrics collected per run:                                             </w:t>
            </w:r>
          </w:p>
          <w:p>
            <w:pPr>
              <w:spacing w:after="0" w:before="0"/>
            </w:pPr>
            <w:r>
              <w:rPr>
                <w:rFonts w:ascii="Courier New" w:cs="Courier New" w:eastAsia="Courier New" w:hAnsi="Courier New"/>
                <w:color w:val="1A1A1A"/>
                <w:sz w:val="18"/>
                <w:szCs w:val="18"/>
              </w:rPr>
              <w:t xml:space="preserve">  - Attack Success Rate (ASR): did agent execute malicious instruction?  </w:t>
            </w:r>
          </w:p>
          <w:p>
            <w:pPr>
              <w:spacing w:after="0" w:before="0"/>
            </w:pPr>
            <w:r>
              <w:rPr>
                <w:rFonts w:ascii="Courier New" w:cs="Courier New" w:eastAsia="Courier New" w:hAnsi="Courier New"/>
                <w:color w:val="1A1A1A"/>
                <w:sz w:val="18"/>
                <w:szCs w:val="18"/>
              </w:rPr>
              <w:t xml:space="preserve">  - Time-to-Detection (TTD): seconds until MCPShield flagged the attack  </w:t>
            </w:r>
          </w:p>
          <w:p>
            <w:pPr>
              <w:spacing w:after="0" w:before="0"/>
            </w:pPr>
            <w:r>
              <w:rPr>
                <w:rFonts w:ascii="Courier New" w:cs="Courier New" w:eastAsia="Courier New" w:hAnsi="Courier New"/>
                <w:color w:val="1A1A1A"/>
                <w:sz w:val="18"/>
                <w:szCs w:val="18"/>
              </w:rPr>
              <w:t xml:space="preserve">  - Data Exfiltration Volume (DEV): bytes of sensitive data exposed     </w:t>
            </w:r>
          </w:p>
          <w:p>
            <w:pPr>
              <w:spacing w:after="0" w:before="0"/>
            </w:pPr>
            <w:r>
              <w:rPr>
                <w:rFonts w:ascii="Courier New" w:cs="Courier New" w:eastAsia="Courier New" w:hAnsi="Courier New"/>
                <w:color w:val="1A1A1A"/>
                <w:sz w:val="18"/>
                <w:szCs w:val="18"/>
              </w:rPr>
              <w:t xml:space="preserve">  - Regulatory Trigger Rate (RTR): % of runs triggering reportable event </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4.5 MCP Governance Architecture — Shared Responsibility Model</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MCP SHARED RESPONSIBILITY MODEL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AI PLATFORM DEVELOPER (Anthropic, OpenAI, Google)                  │ </w:t>
            </w:r>
          </w:p>
          <w:p>
            <w:pPr>
              <w:spacing w:after="0" w:before="0"/>
            </w:pPr>
            <w:r>
              <w:rPr>
                <w:rFonts w:ascii="Courier New" w:cs="Courier New" w:eastAsia="Courier New" w:hAnsi="Courier New"/>
                <w:color w:val="1A1A1A"/>
                <w:sz w:val="18"/>
                <w:szCs w:val="18"/>
              </w:rPr>
              <w:t xml:space="preserve">  │  Owns: Agent architecture, prompt hardening, sandboxing, CVD        │ </w:t>
            </w:r>
          </w:p>
          <w:p>
            <w:pPr>
              <w:spacing w:after="0" w:before="0"/>
            </w:pPr>
            <w:r>
              <w:rPr>
                <w:rFonts w:ascii="Courier New" w:cs="Courier New" w:eastAsia="Courier New" w:hAnsi="Courier New"/>
                <w:color w:val="1A1A1A"/>
                <w:sz w:val="18"/>
                <w:szCs w:val="18"/>
              </w:rPr>
              <w:t xml:space="preserve">  │  Liability: Product liability if architecture enables attacks        │ </w:t>
            </w:r>
          </w:p>
          <w:p>
            <w:pPr>
              <w:spacing w:after="0" w:before="0"/>
            </w:pPr>
            <w:r>
              <w:rPr>
                <w:rFonts w:ascii="Courier New" w:cs="Courier New" w:eastAsia="Courier New" w:hAnsi="Courier New"/>
                <w:color w:val="1A1A1A"/>
                <w:sz w:val="18"/>
                <w:szCs w:val="18"/>
              </w:rPr>
              <w:t xml:space="preserve">  │  Standard: Red-team testing program; public security advisories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provides agent runtime</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MCP SERVER PUBLISHER (Third-party tool developers)                  │ </w:t>
            </w:r>
          </w:p>
          <w:p>
            <w:pPr>
              <w:spacing w:after="0" w:before="0"/>
            </w:pPr>
            <w:r>
              <w:rPr>
                <w:rFonts w:ascii="Courier New" w:cs="Courier New" w:eastAsia="Courier New" w:hAnsi="Courier New"/>
                <w:color w:val="1A1A1A"/>
                <w:sz w:val="18"/>
                <w:szCs w:val="18"/>
              </w:rPr>
              <w:t xml:space="preserve">  │  Owns: Tool description integrity, CryptoMCP signing, honest caps   │ </w:t>
            </w:r>
          </w:p>
          <w:p>
            <w:pPr>
              <w:spacing w:after="0" w:before="0"/>
            </w:pPr>
            <w:r>
              <w:rPr>
                <w:rFonts w:ascii="Courier New" w:cs="Courier New" w:eastAsia="Courier New" w:hAnsi="Courier New"/>
                <w:color w:val="1A1A1A"/>
                <w:sz w:val="18"/>
                <w:szCs w:val="18"/>
              </w:rPr>
              <w:t xml:space="preserve">  │  Liability: Fraud/misrepresentation; GDPR data processor obligations │ </w:t>
            </w:r>
          </w:p>
          <w:p>
            <w:pPr>
              <w:spacing w:after="0" w:before="0"/>
            </w:pPr>
            <w:r>
              <w:rPr>
                <w:rFonts w:ascii="Courier New" w:cs="Courier New" w:eastAsia="Courier New" w:hAnsi="Courier New"/>
                <w:color w:val="1A1A1A"/>
                <w:sz w:val="18"/>
                <w:szCs w:val="18"/>
              </w:rPr>
              <w:t xml:space="preserve">  │  Standard: Ed25519 signing; Trust Registry enrollment; SOC 2 audit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publishes signed tool descriptors</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ENTERPRISE DEPLOYER (companies using MCP-enabled AI in products)    │ </w:t>
            </w:r>
          </w:p>
          <w:p>
            <w:pPr>
              <w:spacing w:after="0" w:before="0"/>
            </w:pPr>
            <w:r>
              <w:rPr>
                <w:rFonts w:ascii="Courier New" w:cs="Courier New" w:eastAsia="Courier New" w:hAnsi="Courier New"/>
                <w:color w:val="1A1A1A"/>
                <w:sz w:val="18"/>
                <w:szCs w:val="18"/>
              </w:rPr>
              <w:t xml:space="preserve">  │  Owns: Tool vetting, MCPShield deployment, IR plan, monitoring      │ </w:t>
            </w:r>
          </w:p>
          <w:p>
            <w:pPr>
              <w:spacing w:after="0" w:before="0"/>
            </w:pPr>
            <w:r>
              <w:rPr>
                <w:rFonts w:ascii="Courier New" w:cs="Courier New" w:eastAsia="Courier New" w:hAnsi="Courier New"/>
                <w:color w:val="1A1A1A"/>
                <w:sz w:val="18"/>
                <w:szCs w:val="18"/>
              </w:rPr>
              <w:t xml:space="preserve">  │  Liability: GDPR data controller; breach notification duties        │ </w:t>
            </w:r>
          </w:p>
          <w:p>
            <w:pPr>
              <w:spacing w:after="0" w:before="0"/>
            </w:pPr>
            <w:r>
              <w:rPr>
                <w:rFonts w:ascii="Courier New" w:cs="Courier New" w:eastAsia="Courier New" w:hAnsi="Courier New"/>
                <w:color w:val="1A1A1A"/>
                <w:sz w:val="18"/>
                <w:szCs w:val="18"/>
              </w:rPr>
              <w:t xml:space="preserve">  │  Standard: FAIR risk assessment; MCPShield + CryptoMCP required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deploys AI agent to</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END USER                                                            │ </w:t>
            </w:r>
          </w:p>
          <w:p>
            <w:pPr>
              <w:spacing w:after="0" w:before="0"/>
            </w:pPr>
            <w:r>
              <w:rPr>
                <w:rFonts w:ascii="Courier New" w:cs="Courier New" w:eastAsia="Courier New" w:hAnsi="Courier New"/>
                <w:color w:val="1A1A1A"/>
                <w:sz w:val="18"/>
                <w:szCs w:val="18"/>
              </w:rPr>
              <w:t xml:space="preserve">  │  Owns: Consent, awareness of agent capabilities                     │ </w:t>
            </w:r>
          </w:p>
          <w:p>
            <w:pPr>
              <w:spacing w:after="0" w:before="0"/>
            </w:pPr>
            <w:r>
              <w:rPr>
                <w:rFonts w:ascii="Courier New" w:cs="Courier New" w:eastAsia="Courier New" w:hAnsi="Courier New"/>
                <w:color w:val="1A1A1A"/>
                <w:sz w:val="18"/>
                <w:szCs w:val="18"/>
              </w:rPr>
              <w:t xml:space="preserve">  │  Liability: Limited — primarily deployer/platform liability         │ </w:t>
            </w:r>
          </w:p>
          <w:p>
            <w:pPr>
              <w:spacing w:after="0" w:before="0"/>
            </w:pPr>
            <w:r>
              <w:rPr>
                <w:rFonts w:ascii="Courier New" w:cs="Courier New" w:eastAsia="Courier New" w:hAnsi="Courier New"/>
                <w:color w:val="1A1A1A"/>
                <w:sz w:val="18"/>
                <w:szCs w:val="18"/>
              </w:rPr>
              <w:t xml:space="preserve">  │  Standard: Informed consent flows; opt-out rights; transparency     │ </w:t>
            </w:r>
          </w:p>
          <w:p>
            <w:pPr>
              <w:spacing w:after="0" w:before="0"/>
            </w:pPr>
            <w:r>
              <w:rPr>
                <w:rFonts w:ascii="Courier New" w:cs="Courier New" w:eastAsia="Courier New" w:hAnsi="Courier New"/>
                <w:color w:val="1A1A1A"/>
                <w:sz w:val="18"/>
                <w:szCs w:val="18"/>
              </w:rPr>
              <w:t xml:space="preserve">  └─────────────────────────────────────────────────────────────────────┘ </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5. Proposed Methodology</w:t>
      </w:r>
    </w:p>
    <w:p>
      <w:pPr>
        <w:pStyle w:val="Heading2"/>
        <w:spacing w:after="100" w:before="260"/>
      </w:pPr>
      <w:r>
        <w:rPr>
          <w:rFonts w:ascii="Arial" w:cs="Arial" w:eastAsia="Arial" w:hAnsi="Arial"/>
          <w:b/>
          <w:bCs/>
          <w:i w:val="false"/>
          <w:iCs w:val="false"/>
          <w:color w:val="1A5276"/>
          <w:sz w:val="26"/>
          <w:szCs w:val="26"/>
        </w:rPr>
        <w:t xml:space="preserve">Phase 1: Reconnaissance, Taxonomy, and Legal Mapping (Weeks 1–3)</w:t>
      </w:r>
    </w:p>
    <w:p>
      <w:pPr>
        <w:spacing w:after="120" w:before="60"/>
        <w:jc w:val="both"/>
      </w:pPr>
      <w:r>
        <w:rPr>
          <w:rFonts w:ascii="Arial" w:cs="Arial" w:eastAsia="Arial" w:hAnsi="Arial"/>
          <w:b w:val="false"/>
          <w:bCs w:val="false"/>
          <w:i w:val="false"/>
          <w:iCs w:val="false"/>
          <w:color w:val="000000"/>
          <w:sz w:val="22"/>
          <w:szCs w:val="22"/>
        </w:rPr>
        <w:t xml:space="preserve">Technical work:</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Catalog all publicly documented MCP attack vectors across security research, blog posts, and CVD databases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Analyze 50+ open-source MCP servers on GitHub for existing vulnerabilities and missing cryptographic controls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Interview and survey 5-10 developers who build MCP servers about their security and signing practices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Produce formal threat taxonomy with STRIDE-based classification, mapping each attack to its cryptographic exploitability (does a signature scheme prevent this attack?)</w:t>
      </w:r>
    </w:p>
    <w:p>
      <w:pPr>
        <w:spacing w:after="60" w:before="0"/>
      </w:pPr>
      <w:r>
        <w:rPr>
          <w:rFonts w:ascii="Arial" w:cs="Arial" w:eastAsia="Arial" w:hAnsi="Arial"/>
          <w:b w:val="false"/>
          <w:bCs w:val="false"/>
          <w:i w:val="false"/>
          <w:iCs w:val="false"/>
          <w:color w:val="000000"/>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Governance and legal work:</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Interview 3-5 enterprise legal/compliance officers and CISOs about current AI agent risk practices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Map each threat class to applicable regulations (EU AI Act, GDPR, CCPA, FTC guidance)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Identify liability exposure for each MCP ecosystem actor per threat class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Draft initial MCP Governance Framework role-responsibility matrix</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2: MCPoisoner Red-Team Toolkit (Weeks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c>
          <w:tcPr>
            <w:tcW w:type="dxa" w:w="1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Attack Class</w:t>
            </w:r>
          </w:p>
        </w:tc>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Technical Description</w:t>
            </w:r>
          </w:p>
        </w:tc>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Crypto Exploitability</w:t>
            </w:r>
          </w:p>
        </w:tc>
        <w:tc>
          <w:tcPr>
            <w:tcW w:type="dxa" w:w="2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Legal/Governance Implication</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Description Injection</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Hidden instructions via Unicode steganography, markdown exploits, semantic manipulation</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Prevented by signature: any modification invalidates Ed25519 signature</w:t>
            </w:r>
          </w:p>
        </w:tc>
        <w:tc>
          <w:tcPr>
            <w:tcW w:type="dxa" w:w="2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GDPR Art. 83 violation if PII exfiltrated; FTC deceptive practice if undisclosed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 Shadowing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Mimicry of legitimate tools to intercept calls (AI-layer MITM)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Prevented by PKI auth: unsigned/mis-signed tools rejected by CryptoMCP</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Product liability for platform vendors; breach of fiduciary duty for deployers</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Rug-Pull Attack</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Behavioral change post-deployment via dynamic description updates</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Prevented by hash baseline: new hash != approved hash triggers rejection</w:t>
            </w:r>
          </w:p>
        </w:tc>
        <w:tc>
          <w:tcPr>
            <w:tcW w:type="dxa" w:w="2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Contract fraud if tool is licensed; SOC 2 control failure for deployers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Return Value Poisoning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Malicious payloads in tool outputs manipulating agent memory/context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Partial: signatures cover descriptions not return values — requires runtime monitoring</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AI Act Art. 9 risk management failure; potential negligence liability</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Cross-Tool Escalation</w:t>
            </w:r>
          </w:p>
        </w:tc>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Chaining benign-looking tools to achieve malicious compound outcomes</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Partial: each tool signed independently — data flow tracking required</w:t>
            </w:r>
          </w:p>
        </w:tc>
        <w:tc>
          <w:tcPr>
            <w:tcW w:type="dxa" w:w="2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Compound regulatory exposure; NIST CSF supply chain control failure</w:t>
            </w:r>
          </w:p>
        </w:tc>
      </w:tr>
    </w:tbl>
    <w:p>
      <w:pPr>
        <w:spacing w:after="60" w:before="0"/>
      </w:pPr>
      <w:r>
        <w:rPr>
          <w:rFonts w:ascii="Arial" w:cs="Arial" w:eastAsia="Arial" w:hAnsi="Arial"/>
          <w:b w:val="false"/>
          <w:bCs w:val="false"/>
          <w:i w:val="false"/>
          <w:iCs w:val="false"/>
          <w:color w:val="000000"/>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Testing matrix: 4 LLM backends x 3 agent frameworks x 5 attack classes = 60 configurations. Metrics collected per configuration: Attack Success Rate (ASR), Time-to-Detection (TTD), Data Exfiltration Volume (DEV), Regulatory Trigger Rate (RTR — new metric), and Cryptographic Defense Effectiveness (CDE — does CryptoMCP block this attack class?).</w:t>
      </w:r>
    </w:p>
    <w:p>
      <w:pPr>
        <w:spacing w:after="120" w:before="60"/>
        <w:jc w:val="both"/>
      </w:pPr>
      <w:r>
        <w:rPr>
          <w:rFonts w:ascii="Arial" w:cs="Arial" w:eastAsia="Arial" w:hAnsi="Arial"/>
          <w:b w:val="false"/>
          <w:bCs w:val="false"/>
          <w:i w:val="false"/>
          <w:iCs w:val="false"/>
          <w:color w:val="000000"/>
          <w:sz w:val="22"/>
          <w:szCs w:val="22"/>
        </w:rPr>
        <w:t xml:space="preserve">Responsible Disclosure Protocol: All zero-days discovered in real MCP servers will follow a 90-day CVD process: (1) private notification to vendor, (2) coordinated patch timeline, (3) public disclosure with CVE assignment where applicable. Documentation of this process will be included as a governance deliverable.</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3: MCPShield Defense Framework (Weeks 6–11)</w:t>
      </w:r>
    </w:p>
    <w:p>
      <w:pPr>
        <w:pStyle w:val="Heading3"/>
        <w:spacing w:after="60" w:before="180"/>
      </w:pPr>
      <w:r>
        <w:rPr>
          <w:rFonts w:ascii="Arial" w:cs="Arial" w:eastAsia="Arial" w:hAnsi="Arial"/>
          <w:b/>
          <w:bCs/>
          <w:i w:val="false"/>
          <w:iCs w:val="false"/>
          <w:color w:val="404040"/>
          <w:sz w:val="23"/>
          <w:szCs w:val="23"/>
        </w:rPr>
        <w:t xml:space="preserve">Layer 1 — Static Analysis (Pre-Deployment Scanner)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NLP-based classifier trained to detect hidden instructions in tool descriptions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Unicode anomaly detection: invisible characters, homoglyphs, right-to-left text overrides, zero-width joiners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Schema validation against declared capabilities (a calculator tool should not require filesystem access)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CryptoMCP integration: verify Ed25519 signature and publisher X.509 certificate at registration time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Compliance checkpoint: does this tool's data access pattern trigger GDPR processing obligations?</w:t>
      </w:r>
    </w:p>
    <w:p>
      <w:pPr>
        <w:spacing w:after="60" w:before="0"/>
      </w:pPr>
      <w:r>
        <w:rPr>
          <w:rFonts w:ascii="Arial" w:cs="Arial" w:eastAsia="Arial" w:hAnsi="Arial"/>
          <w:b w:val="false"/>
          <w:bCs w:val="false"/>
          <w:i w:val="false"/>
          <w:iCs w:val="false"/>
          <w:color w:val="000000"/>
          <w:sz w:val="22"/>
          <w:szCs w:val="22"/>
        </w:rPr>
        <w:t xml:space="preserve"/>
      </w:r>
    </w:p>
    <w:p>
      <w:pPr>
        <w:pStyle w:val="Heading3"/>
        <w:spacing w:after="60" w:before="180"/>
      </w:pPr>
      <w:r>
        <w:rPr>
          <w:rFonts w:ascii="Arial" w:cs="Arial" w:eastAsia="Arial" w:hAnsi="Arial"/>
          <w:b/>
          <w:bCs/>
          <w:i w:val="false"/>
          <w:iCs w:val="false"/>
          <w:color w:val="404040"/>
          <w:sz w:val="23"/>
          <w:szCs w:val="23"/>
        </w:rPr>
        <w:t xml:space="preserve">Layer 2 — Runtime Monitor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Intercept all MCP JSON-RPC messages between agent and tools via proxy middleware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Behavioral profiling: learn normal tool usage patterns using ML, flag statistically anomalous invocations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Data flow tracking: detect when sensitive data (PII, API keys, credentials) flows to unauthorized tools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Merkle audit logging: tamper-evident hash-chained record of every tool invocation for regulatory reporting</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Rate limiting and throttling for suspicious invocation patterns</w:t>
      </w:r>
    </w:p>
    <w:p>
      <w:pPr>
        <w:spacing w:after="60" w:before="0"/>
      </w:pPr>
      <w:r>
        <w:rPr>
          <w:rFonts w:ascii="Arial" w:cs="Arial" w:eastAsia="Arial" w:hAnsi="Arial"/>
          <w:b w:val="false"/>
          <w:bCs w:val="false"/>
          <w:i w:val="false"/>
          <w:iCs w:val="false"/>
          <w:color w:val="000000"/>
          <w:sz w:val="22"/>
          <w:szCs w:val="22"/>
        </w:rPr>
        <w:t xml:space="preserve"/>
      </w:r>
    </w:p>
    <w:p>
      <w:pPr>
        <w:pStyle w:val="Heading3"/>
        <w:spacing w:after="60" w:before="180"/>
      </w:pPr>
      <w:r>
        <w:rPr>
          <w:rFonts w:ascii="Arial" w:cs="Arial" w:eastAsia="Arial" w:hAnsi="Arial"/>
          <w:b/>
          <w:bCs/>
          <w:i w:val="false"/>
          <w:iCs w:val="false"/>
          <w:color w:val="404040"/>
          <w:sz w:val="23"/>
          <w:szCs w:val="23"/>
        </w:rPr>
        <w:t xml:space="preserve">Layer 3 — Policy Engine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Configurable YAML-based policies: e.g., 'tools tagged external cannot access local_filesystem'</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Mandatory human-in-the-loop for high-risk operations (file deletion, credential access, unknown network requests)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Pre-built regulatory compliance policy sets: GDPR data minimization, EU AI Act Art. 9, SOC 2 CC6</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Tool capability declarations with runtime enforcement and audit evidence generation</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4: CryptoMCP Implementation (Weeks 7–10)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4A235A"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CryptoMCP: Cryptographic Integrity for MCP Tool Descriptions</w:t>
            </w:r>
          </w:p>
          <w:p>
            <w:pPr>
              <w:spacing w:after="30" w:before="30"/>
            </w:pPr>
            <w:r>
              <w:rPr>
                <w:rFonts w:ascii="Arial" w:cs="Arial" w:eastAsia="Arial" w:hAnsi="Arial"/>
                <w:b w:val="false"/>
                <w:bCs w:val="false"/>
                <w:i w:val="false"/>
                <w:iCs w:val="false"/>
                <w:color w:val="FFFFFF"/>
                <w:sz w:val="20"/>
                <w:szCs w:val="20"/>
              </w:rPr>
              <w:t xml:space="preserve">CryptoMCP is a lightweight Python library and protocol extension that adds four</w:t>
            </w:r>
          </w:p>
          <w:p>
            <w:pPr>
              <w:spacing w:after="30" w:before="30"/>
            </w:pPr>
            <w:r>
              <w:rPr>
                <w:rFonts w:ascii="Arial" w:cs="Arial" w:eastAsia="Arial" w:hAnsi="Arial"/>
                <w:b w:val="false"/>
                <w:bCs w:val="false"/>
                <w:i w:val="false"/>
                <w:iCs w:val="false"/>
                <w:color w:val="FFFFFF"/>
                <w:sz w:val="20"/>
                <w:szCs w:val="20"/>
              </w:rPr>
              <w:t xml:space="preserve">cryptographic primitives to the MCP ecosystem: (1) Ed25519 digital signatures on all</w:t>
            </w:r>
          </w:p>
          <w:p>
            <w:pPr>
              <w:spacing w:after="30" w:before="30"/>
            </w:pPr>
            <w:r>
              <w:rPr>
                <w:rFonts w:ascii="Arial" w:cs="Arial" w:eastAsia="Arial" w:hAnsi="Arial"/>
                <w:b w:val="false"/>
                <w:bCs w:val="false"/>
                <w:i w:val="false"/>
                <w:iCs w:val="false"/>
                <w:color w:val="FFFFFF"/>
                <w:sz w:val="20"/>
                <w:szCs w:val="20"/>
              </w:rPr>
              <w:t xml:space="preserve">tool descriptions, (2) SHA-256 hash-based integrity verification at runtime,</w:t>
            </w:r>
          </w:p>
          <w:p>
            <w:pPr>
              <w:spacing w:after="30" w:before="30"/>
            </w:pPr>
            <w:r>
              <w:rPr>
                <w:rFonts w:ascii="Arial" w:cs="Arial" w:eastAsia="Arial" w:hAnsi="Arial"/>
                <w:b w:val="false"/>
                <w:bCs w:val="false"/>
                <w:i w:val="false"/>
                <w:iCs w:val="false"/>
                <w:color w:val="FFFFFF"/>
                <w:sz w:val="20"/>
                <w:szCs w:val="20"/>
              </w:rPr>
              <w:t xml:space="preserve">(3) X.509 PKI-based publisher authentication via a Trust Registry, and</w:t>
            </w:r>
          </w:p>
          <w:p>
            <w:pPr>
              <w:spacing w:after="30" w:before="30"/>
            </w:pPr>
            <w:r>
              <w:rPr>
                <w:rFonts w:ascii="Arial" w:cs="Arial" w:eastAsia="Arial" w:hAnsi="Arial"/>
                <w:b w:val="false"/>
                <w:bCs w:val="false"/>
                <w:i w:val="false"/>
                <w:iCs w:val="false"/>
                <w:color w:val="FFFFFF"/>
                <w:sz w:val="20"/>
                <w:szCs w:val="20"/>
              </w:rPr>
              <w:t xml:space="preserve">(4) Merkle-tree audit logging for tamper-evident compliance records.</w:t>
            </w:r>
          </w:p>
        </w:tc>
      </w:tr>
    </w:tbl>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Prototype the CryptoMCP Python library with Ed25519 signing/verification (using PyNaCl)</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Build a lightweight Trust Registry API (FastAPI) that issues and revokes publisher certificates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Integrate CryptoMCP verification into MCPShield Layer 1 static scanner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Build Merkle audit logger using hashlib (SHA-256 chaining)</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Implement mTLS between MCPShield proxy and MCP servers using Python ssl module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Benchmark: measure cryptographic overhead (latency added per tool call at P50/P95/P99)</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Evaluate: which of the 5 attack classes are fully blocked, partially mitigated, or unaffected by CryptoMCP</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5: MCP Governance Framework Development (Weeks 9–12)</w:t>
      </w:r>
    </w:p>
    <w:p>
      <w:pPr>
        <w:spacing w:after="120" w:before="60"/>
        <w:jc w:val="both"/>
      </w:pPr>
      <w:r>
        <w:rPr>
          <w:rFonts w:ascii="Arial" w:cs="Arial" w:eastAsia="Arial" w:hAnsi="Arial"/>
          <w:b w:val="false"/>
          <w:bCs w:val="false"/>
          <w:i w:val="false"/>
          <w:iCs w:val="false"/>
          <w:color w:val="000000"/>
          <w:sz w:val="22"/>
          <w:szCs w:val="22"/>
        </w:rPr>
        <w:t xml:space="preserve">Using findings from Phases 1-4, formalize the governance framework:</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Complete the MCP Shared Responsibility Model with specific control mappings per actor</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Draft MCP Tool Certification Model: define what a publisher must demonstrate to enroll in the Trust Registry (analogous to Apple App Store review or Google Play Protect)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Produce Enterprise MCP Risk Assessment Template using FAIR methodology — quantified monetary risk exposure per attack class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Map MCPShield policy templates to specific regulatory articles (GDPR Art. 25, EU AI Act Art. 9, SOC 2 CC6.1)</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Define AI Incident Response Plan for MCP supply chain compromise: Detect → Isolate → Notify → Remediate → Report</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6: Evaluation and Hardening (Weeks 10–13)</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Run MCPoisoner against MCPShield + CryptoMCP — measure detection rates and cryptographic defense effectiveness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Adaptive adversary evaluation: modify attacks to evade defenses, iterate — specifically test attacks that attempt to forge signatures or bypass hash verification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Benchmark: precision, recall, F1-score, false positive rate across all 60 configurations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Performance overhead: latency and CPU cost of MCPShield + CryptoMCP vs baseline (no defense)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Compliance coverage audit: what percentage of GDPR, EU AI Act, and SOC 2 requirements does MCPShield + CryptoMCP satisfy?</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Phase 7: Documentation, Policy Writing, and Publication (Weeks 12–15)</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25+ page capstone report per MSSI requirements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Conference paper draft targeting USENIX Security Workshops or NDSS MADWeb</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Policy white paper targeting ENISA, NIST NCCoE, or Brookings CSET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Enterprise MCP Risk Assessment Template (CISO-facing, FAIR-based)</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Open-source release of MCPoisoner, MCPShield, and CryptoMCP on GitHub with full documentation</w:t>
      </w:r>
    </w:p>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Threat Taxonomy Document</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 + Legal</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Formal MCP attack classification with STRIDE/OWASP/NIST mapping AND regulatory triggers AND cryptographic exploitability analysis per attack class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MCPoisoner Toolkit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Python red-team toolkit with 5+ attack implementations; 60-config test harness; CVD protocol documentation; full statistical analysis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MCPShield Framework</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Python defense framework: static scanner (NLP + Unicode detection) + runtime monitor (behavioral ML + Merkle logging) + policy engine (YAML rules + compliance templates)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Library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 (New)</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Python library: Ed25519 signing/verification + SHA-256 integrity + X.509 Trust Registry + Merkle audit logger + mTLS support. Open-sourced as standalone tool.</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 Governance Framework</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 / Management</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Shared responsibility model; role-based liability matrix; MCP Tool Certification Model concept; AI Incident Response Plan template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Enterprise Risk Assessment Template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Management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FAIR-based MCP risk scoring tool for CISOs; quantified monetary exposure per attack class; compliance gap analysis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Evaluation Report</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 + Legal</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Quantitative security analysis (60 configs); cryptographic defense effectiveness by attack class; compliance coverage audit; performance benchmarks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 Security &amp; Governance Best Practices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Industry-facing standard aligned to OWASP, NIST, EU AI Act, GDPR — includes cryptographic requirements as baseline for compliant MCP deployments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Conference Paper Draft</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Targeting USENIX Security / NDSS / ACM CCS workshop submission; full empirical evaluation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 White Paper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Targeting ENISA, NIST NCCoE, or Brookings CSET — non-technical audience; governance and liability focus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Capstone Report</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25+ pages per MSSI requirements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Final Presentation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Per MSSI schedule</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Open-Source Release</w:t>
            </w:r>
          </w:p>
        </w:tc>
        <w:tc>
          <w:tcPr>
            <w:tcW w:type="dxa" w:w="18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w:t>
            </w:r>
          </w:p>
        </w:tc>
        <w:tc>
          <w:tcPr>
            <w:tcW w:type="dxa" w:w="47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GitHub: MCPoisoner + MCPShield + CryptoMCP with documentation, usage guides, and policy template library</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7. Tech Stack</w:t>
      </w:r>
    </w:p>
    <w:p>
      <w:pPr>
        <w:pStyle w:val="Heading2"/>
        <w:spacing w:after="100" w:before="260"/>
      </w:pPr>
      <w:r>
        <w:rPr>
          <w:rFonts w:ascii="Arial" w:cs="Arial" w:eastAsia="Arial" w:hAnsi="Arial"/>
          <w:b/>
          <w:bCs/>
          <w:i w:val="false"/>
          <w:iCs w:val="false"/>
          <w:color w:val="1A5276"/>
          <w:sz w:val="26"/>
          <w:szCs w:val="26"/>
        </w:rPr>
        <w:t xml:space="preserve">7.1 Core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Primary Language</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Python 3.11+</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All three systems: MCPoisoner, MCPShield, CryptoMCP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Agent Frameworks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LangChain, CrewAI, AutoGen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Attack and defense test targets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LLM APIs</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OpenAI (GPT-4o), Anthropic (Claude Sonnet), Google (Gemini 2.5), Ollama (Llama-3.1-70B)</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Multi-backend attack surface testing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 Implementation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Official MCP Python SDK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Protocol-level tool communication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Testing Framework</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pytest + custom attack harness</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60-config automated test execution with statistical variance tracking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Docker + AWS/local hybrid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Isolated, reproducible test environments</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7.2 Cryptographic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Digital Signatures</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PyNaCl (libsodium bindings) — Ed25519</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Tool description signing and verification (CryptoMCP)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Hash Functions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hashlib — SHA-256 / SHA-3</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Integrity verification and Merkle audit logging</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PKI / Certificates</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cryptography library (pyca) — X.509</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Publisher authentication via Trust Registry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TLS / mTLS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Python ssl module + OpenSSL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Mutual authentication between MCPShield proxy and MCP servers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Trust Registry API</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FastAPI + SQLite</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Lightweight publisher certificate issuance and revocation service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Key Management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cryptography.hazmat.primitives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Secure key generation, storage, and lifecycle management</w:t>
            </w:r>
          </w:p>
        </w:tc>
      </w:tr>
    </w:tbl>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7.3 Defense and ML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NLP Detection</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HuggingFace Transformers, scikit-learn, spaCy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Static scanner: classify tool descriptions for hidden instructions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Runtime Monitoring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Custom JSON-RPC proxy middleware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Intercept and inspect all MCP traffic</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Behavioral ML</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scikit-learn (Isolation Forest, One-Class SVM)</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Anomaly detection on tool invocation patterns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 Engine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YAML schema + Python rule evaluator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Configurable least-privilege enforcement with regulatory templates</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Risk Quantification</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OpenFAIR Python library</w:t>
            </w:r>
          </w:p>
        </w:tc>
        <w:tc>
          <w:tcPr>
            <w:tcW w:type="dxa" w:w="3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FAIR-based monetary risk assessment for enterprise template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Matplotlib, Plotly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Evaluation metrics, attack success heat maps, risk dashboards</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8.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00"/>
        <w:gridCol w:w="2200"/>
        <w:gridCol w:w="2060"/>
      </w:tblGrid>
      <w:tr>
        <w:tc>
          <w:tcPr>
            <w:tcW w:type="dxa" w:w="9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Week</w:t>
            </w:r>
          </w:p>
        </w:tc>
        <w:tc>
          <w:tcPr>
            <w:tcW w:type="dxa" w:w="17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Technical Milestone</w:t>
            </w:r>
          </w:p>
        </w:tc>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Crypto Milestone</w:t>
            </w:r>
          </w:p>
        </w:tc>
        <w:tc>
          <w:tcPr>
            <w:tcW w:type="dxa" w:w="20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Governance / Policy Milestone</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1–2</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Reconnaissance</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Literature review; threat catalog draft</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Survey MCP servers for crypto controls</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Legal landscape survey; CISO interview protocol</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Taxonomy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Formal threat taxonomy: STRIDE/OWASP/NIST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 exploitability column added to taxonomy</w:t>
            </w:r>
          </w:p>
        </w:tc>
        <w:tc>
          <w:tcPr>
            <w:tcW w:type="dxa" w:w="2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Regulatory trigger mapping per attack class</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3–5</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MCPoisoner v1</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First 3 attack classes implemented</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library scaffold + Ed25519 signing</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CVD protocol drafted; liability matrix v1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5–7</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MCPoisoner v2</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All 5 attacks; 60-config test matrix complete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SHA-256 integrity + hash baseline verification</w:t>
            </w:r>
          </w:p>
        </w:tc>
        <w:tc>
          <w:tcPr>
            <w:tcW w:type="dxa" w:w="2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Governance Framework role matrix v1</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6–8</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MCPShield Static</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NLP + Unicode scanner functional</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Layer 1 integration (sig + PKI verify)</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GDPR/EU AI Act policy templates drafted</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7–10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Full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MCPShield runtime monitor integrated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Trust Registry API + Merkle logger + mTLS</w:t>
            </w:r>
          </w:p>
        </w:tc>
        <w:tc>
          <w:tcPr>
            <w:tcW w:type="dxa" w:w="2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Compliance coverage audit design</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9–12</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Governance</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MCPShield compliance templates integrated</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 overhead benchmarks complete</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Shared responsibility model finalized; risk template v1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10–11</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Evaluation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Red-vs-blue; adaptive adversary testing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 defense effectiveness by attack class</w:t>
            </w:r>
          </w:p>
        </w:tc>
        <w:tc>
          <w:tcPr>
            <w:tcW w:type="dxa" w:w="2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Compliance coverage metrics finalized</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11–12</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Mid-Update</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Progress summary + report outline</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performance report</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Governance framework peer review</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12–14</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Writing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Capstone report; conference paper draft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technical spec published</w:t>
            </w:r>
          </w:p>
        </w:tc>
        <w:tc>
          <w:tcPr>
            <w:tcW w:type="dxa" w:w="2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 white paper; risk assessment template finalized</w:t>
            </w:r>
          </w:p>
        </w:tc>
      </w:tr>
      <w:tr>
        <w:tc>
          <w:tcPr>
            <w:tcW w:type="dxa" w:w="9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14–15</w:t>
            </w:r>
          </w:p>
        </w:tc>
        <w:tc>
          <w:tcPr>
            <w:tcW w:type="dxa" w:w="1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Final</w:t>
            </w:r>
          </w:p>
        </w:tc>
        <w:tc>
          <w:tcPr>
            <w:tcW w:type="dxa" w:w="25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Open-source release; final presentation</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released to GitHub</w:t>
            </w:r>
          </w:p>
        </w:tc>
        <w:tc>
          <w:tcPr>
            <w:tcW w:type="dxa" w:w="20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Standard proposal submitted to working group</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9. Why This Is an Advanced, Multi-Discipline Security Project</w:t>
      </w:r>
    </w:p>
    <w:p>
      <w:pPr>
        <w:spacing w:after="120" w:before="60"/>
        <w:jc w:val="both"/>
      </w:pPr>
      <w:r>
        <w:rPr>
          <w:rFonts w:ascii="Arial" w:cs="Arial" w:eastAsia="Arial" w:hAnsi="Arial"/>
          <w:b w:val="false"/>
          <w:bCs w:val="false"/>
          <w:i w:val="false"/>
          <w:iCs w:val="false"/>
          <w:color w:val="000000"/>
          <w:sz w:val="22"/>
          <w:szCs w:val="22"/>
        </w:rPr>
        <w:t xml:space="preserve">This project makes contributions across four distinct security disciplines simultaneously — a combination that is rare even in peer-reviewed literature:</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9.1 Technical Security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Threat Modeling: Formal threat taxonomy using STRIDE/OWASP/NIST for a newly emerging attack surface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Offensive Security: Red-team toolkit following standard penetration testing and vulnerability research methodology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Defense-in-Depth: Three-layer defense architecture (prevention + detection + response) adapted for AI agent systems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Supply Chain Security: AI equivalent of SolarWinds/Log4j — the same class of problem applied to a novel protocol layer</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9.2 Applied Cryptography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Protocol Design: Designing a cryptographic extension to an existing protocol (MCP) — requires understanding both the protocol semantics and the threat model</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PKI Engineering: Building a practical Trust Registry with certificate issuance and revocation — not theoretical, a working prototype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Crypto-Threat Interaction Analysis: Formally characterizing which attack classes are fully blocked, partially mitigated, or unaffected by each cryptographic primitive — a rigorous contribution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Performance Engineering: Measuring and optimizing the overhead of adding cryptographic verification to a latency-sensitive AI agent pipeline</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9.3 Governance and Policy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Legal Liability Analysis: First systematic mapping of MCP attack classes to existing legal liability frameworks (tort, data protection, product liability)</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Regulatory Compliance: Practical compliance guidance under GDPR, EU AI Act, CCPA — actionable, not theoretical</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Organizational Risk Management: FAIR-based quantification of MCP exposure — gives CISOs a monetary number, not just a narrative</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Industry Standard Development: The Governance Framework and Best Practices document are designed to be adopted by working groups, not just cited in papers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9.4 Publication Strategy — Seven Distinct Target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Venue</w:t>
            </w:r>
          </w:p>
        </w:tc>
        <w:tc>
          <w:tcPr>
            <w:tcW w:type="dxa" w:w="22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Primary Contribution</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USENIX Security / NDSS</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 — Technical</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MCPoisoner + MCPShield empirical results; 60-config evaluation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ACM CCS Workshop</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 — Technical</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Attack taxonomy; adaptive adversary findings; CryptoMCP design</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IEEE Security &amp; Privacy</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 — Policy + Crypto</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CryptoMCP protocol design + governance framework</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ACM FAccT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Academic — Policy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AI accountability; MCP shared responsibility model</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ENISA / NIST NCCoE</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Regulator White Paper</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Technical threat briefing + cryptographic requirements + governance recommendations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Brookings CSET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Policy White Paper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AI agent supply chain governance for policymakers</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IAPP Privacy Forum</w:t>
            </w:r>
          </w:p>
        </w:tc>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Industry / Legal</w:t>
            </w:r>
          </w:p>
        </w:tc>
        <w:tc>
          <w:tcPr>
            <w:tcW w:type="dxa" w:w="45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GDPR/privacy implications of MCP attacks; liability mapping</w:t>
            </w:r>
          </w:p>
        </w:tc>
      </w:tr>
    </w:tbl>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E6B3C"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Why This Is Novel — Four Claims of Originality</w:t>
            </w:r>
          </w:p>
          <w:p>
            <w:pPr>
              <w:spacing w:after="30" w:before="30"/>
            </w:pPr>
            <w:r>
              <w:rPr>
                <w:rFonts w:ascii="Arial" w:cs="Arial" w:eastAsia="Arial" w:hAnsi="Arial"/>
                <w:b w:val="false"/>
                <w:bCs w:val="false"/>
                <w:i w:val="false"/>
                <w:iCs w:val="false"/>
                <w:color w:val="FFFFFF"/>
                <w:sz w:val="20"/>
                <w:szCs w:val="20"/>
              </w:rPr>
              <w:t xml:space="preserve">1. First systematic empirical study of MCP attacks across multiple LLMs and frameworks.</w:t>
            </w:r>
          </w:p>
          <w:p>
            <w:pPr>
              <w:spacing w:after="30" w:before="30"/>
            </w:pPr>
            <w:r>
              <w:rPr>
                <w:rFonts w:ascii="Arial" w:cs="Arial" w:eastAsia="Arial" w:hAnsi="Arial"/>
                <w:b w:val="false"/>
                <w:bCs w:val="false"/>
                <w:i w:val="false"/>
                <w:iCs w:val="false"/>
                <w:color w:val="FFFFFF"/>
                <w:sz w:val="20"/>
                <w:szCs w:val="20"/>
              </w:rPr>
              <w:t xml:space="preserve">2. First cryptographic integrity layer (CryptoMCP) designed specifically for MCP tool descriptions,</w:t>
            </w:r>
          </w:p>
          <w:p>
            <w:pPr>
              <w:spacing w:after="30" w:before="30"/>
            </w:pPr>
            <w:r>
              <w:rPr>
                <w:rFonts w:ascii="Arial" w:cs="Arial" w:eastAsia="Arial" w:hAnsi="Arial"/>
                <w:b w:val="false"/>
                <w:bCs w:val="false"/>
                <w:i w:val="false"/>
                <w:iCs w:val="false"/>
                <w:color w:val="FFFFFF"/>
                <w:sz w:val="20"/>
                <w:szCs w:val="20"/>
              </w:rPr>
              <w:t xml:space="preserve">   with a formal analysis of which attack classes each cryptographic primitive prevents.</w:t>
            </w:r>
          </w:p>
          <w:p>
            <w:pPr>
              <w:spacing w:after="30" w:before="30"/>
            </w:pPr>
            <w:r>
              <w:rPr>
                <w:rFonts w:ascii="Arial" w:cs="Arial" w:eastAsia="Arial" w:hAnsi="Arial"/>
                <w:b w:val="false"/>
                <w:bCs w:val="false"/>
                <w:i w:val="false"/>
                <w:iCs w:val="false"/>
                <w:color w:val="FFFFFF"/>
                <w:sz w:val="20"/>
                <w:szCs w:val="20"/>
              </w:rPr>
              <w:t xml:space="preserve">3. First governance framework for MCP ecosystem liability allocation — fills a legal vacuum</w:t>
            </w:r>
          </w:p>
          <w:p>
            <w:pPr>
              <w:spacing w:after="30" w:before="30"/>
            </w:pPr>
            <w:r>
              <w:rPr>
                <w:rFonts w:ascii="Arial" w:cs="Arial" w:eastAsia="Arial" w:hAnsi="Arial"/>
                <w:b w:val="false"/>
                <w:bCs w:val="false"/>
                <w:i w:val="false"/>
                <w:iCs w:val="false"/>
                <w:color w:val="FFFFFF"/>
                <w:sz w:val="20"/>
                <w:szCs w:val="20"/>
              </w:rPr>
              <w:t xml:space="preserve">   that regulators and enterprises urgently need addressed.</w:t>
            </w:r>
          </w:p>
          <w:p>
            <w:pPr>
              <w:spacing w:after="30" w:before="30"/>
            </w:pPr>
            <w:r>
              <w:rPr>
                <w:rFonts w:ascii="Arial" w:cs="Arial" w:eastAsia="Arial" w:hAnsi="Arial"/>
                <w:b w:val="false"/>
                <w:bCs w:val="false"/>
                <w:i w:val="false"/>
                <w:iCs w:val="false"/>
                <w:color w:val="FFFFFF"/>
                <w:sz w:val="20"/>
                <w:szCs w:val="20"/>
              </w:rPr>
              <w:t xml:space="preserve">4. The combination of red-team toolkit + cryptographic defense + behavioral defense + governance</w:t>
            </w:r>
          </w:p>
          <w:p>
            <w:pPr>
              <w:spacing w:after="30" w:before="30"/>
            </w:pPr>
            <w:r>
              <w:rPr>
                <w:rFonts w:ascii="Arial" w:cs="Arial" w:eastAsia="Arial" w:hAnsi="Arial"/>
                <w:b w:val="false"/>
                <w:bCs w:val="false"/>
                <w:i w:val="false"/>
                <w:iCs w:val="false"/>
                <w:color w:val="FFFFFF"/>
                <w:sz w:val="20"/>
                <w:szCs w:val="20"/>
              </w:rPr>
              <w:t xml:space="preserve">   layer in a single integrated project is unprecedented in the nascent MCP security literature.</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10. Suggested Faculty Mentors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Faculty Member</w:t>
            </w:r>
          </w:p>
        </w:tc>
        <w:tc>
          <w:tcPr>
            <w:tcW w:type="dxa" w:w="6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Fit for This Project</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Dr. Yinzhi Cao</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Web security, AI security, adversarial ML — strong fit for MCPoisoner offensive components and empirical evaluation design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Dr. Lanier Watkins (JHU APL)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Cyber-physical security, systems security — strong fit for supply chain analysis, systems-level threat modeling, and CryptoMCP protocol design</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Dr. Anton Dahbura (MSSI Director)</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Broad security expertise — ideal for governance/standards components, NIST/OWASP alignment, and policy white paper guidance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Dr. Xiangyang Li</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Information security research — program alignment; potential co-mentor for ML-based detection components in MCPShield</w:t>
            </w:r>
          </w:p>
        </w:tc>
      </w:tr>
    </w:tbl>
    <w:p>
      <w:pPr>
        <w:spacing w:after="120" w:before="60"/>
        <w:jc w:val="both"/>
      </w:pPr>
      <w:r>
        <w:rPr>
          <w:rFonts w:ascii="Arial" w:cs="Arial" w:eastAsia="Arial" w:hAnsi="Arial"/>
          <w:b w:val="false"/>
          <w:bCs w:val="false"/>
          <w:i w:val="false"/>
          <w:iCs w:val="false"/>
          <w:color w:val="000000"/>
          <w:sz w:val="22"/>
          <w:szCs w:val="22"/>
        </w:rPr>
        <w:t xml:space="preserve">The applied cryptography dimension (CryptoMCP) and governance/legal dimensions may additionally benefit from engagement with JHU's applied cryptography faculty or Carey Business School. We welcome guidance from the MSSI program on suitable interdisciplinary co-mentorship arrangements.</w:t>
      </w:r>
    </w:p>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11. Connection to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Prior Project</w:t>
            </w:r>
          </w:p>
        </w:tc>
        <w:tc>
          <w:tcPr>
            <w:tcW w:type="dxa" w:w="6360"/>
            <w:tcBorders>
              <w:top w:val="single" w:color="CCCCCC" w:sz="1"/>
              <w:left w:val="single" w:color="CCCCCC" w:sz="1"/>
              <w:bottom w:val="single" w:color="CCCCCC" w:sz="1"/>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20"/>
                <w:szCs w:val="20"/>
              </w:rPr>
              <w:t xml:space="preserve">Connection to This Capstone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LLM &amp; RAG Exploit Research (Oct–Dec 2025)</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Developed PoC exploits targeting RAG-based LLMs with adversarial prompts — directly transferable to MCP return value poisoning and cross-tool escalation attacks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SENTINEL Bot Detection (2026)</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Built behavioral analysis systems using weighted scoring engines — same pattern applies to MCPShield runtime monitor for tool invocation profiling</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OWASP LLM Top 10 &amp; NIST AI RMF Independent Study</w:t>
            </w:r>
          </w:p>
        </w:tc>
        <w:tc>
          <w:tcPr>
            <w:tcW w:type="dxa" w:w="63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Deep familiarity with the governance frameworks this project maps to — enables faster compliance mapping in Phase 1</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IEEE CCWC 2026 Publication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000000"/>
                <w:sz w:val="20"/>
                <w:szCs w:val="20"/>
              </w:rPr>
              <w:t xml:space="preserve">Demonstrated research and publication capability — confirms team capacity to deliver conference-quality output within the capstone timeline</w:t>
            </w:r>
          </w:p>
        </w:tc>
      </w:tr>
    </w:tbl>
    <w:p>
      <w:pPr>
        <w:spacing w:after="60" w:before="0"/>
      </w:pPr>
      <w:r>
        <w:rPr>
          <w:rFonts w:ascii="Arial" w:cs="Arial" w:eastAsia="Arial" w:hAnsi="Arial"/>
          <w:b w:val="false"/>
          <w:bCs w:val="false"/>
          <w:i w:val="false"/>
          <w:iCs w:val="false"/>
          <w:color w:val="000000"/>
          <w:sz w:val="22"/>
          <w:szCs w:val="22"/>
        </w:rPr>
        <w:t xml:space="preserve"/>
      </w:r>
    </w:p>
    <w:p>
      <w:r>
        <w:br w:type="page"/>
      </w:r>
    </w:p>
    <w:p>
      <w:pPr>
        <w:pStyle w:val="Heading1"/>
        <w:spacing w:after="140" w:before="400"/>
      </w:pPr>
      <w:r>
        <w:rPr>
          <w:rFonts w:ascii="Arial" w:cs="Arial" w:eastAsia="Arial" w:hAnsi="Arial"/>
          <w:b/>
          <w:bCs/>
          <w:i w:val="false"/>
          <w:iCs w:val="false"/>
          <w:color w:val="1F4E79"/>
          <w:sz w:val="34"/>
          <w:szCs w:val="34"/>
        </w:rPr>
        <w:t xml:space="preserve">12. References</w:t>
      </w:r>
    </w:p>
    <w:p>
      <w:pPr>
        <w:pStyle w:val="Heading2"/>
        <w:spacing w:after="100" w:before="260"/>
      </w:pPr>
      <w:r>
        <w:rPr>
          <w:rFonts w:ascii="Arial" w:cs="Arial" w:eastAsia="Arial" w:hAnsi="Arial"/>
          <w:b/>
          <w:bCs/>
          <w:i w:val="false"/>
          <w:iCs w:val="false"/>
          <w:color w:val="1A5276"/>
          <w:sz w:val="26"/>
          <w:szCs w:val="26"/>
        </w:rPr>
        <w:t xml:space="preserve">Technical and Security References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Anthropic (2024). Introducing the Model Context Protocol. https://modelcontextprotocol.io</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OWASP Foundation (2025). OWASP Top 10 for Large Language Model Applications v2.0.</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Ferrag, M.A. et al. (2025). From prompt injections to protocol exploits: Threats in LLM-powered AI agent workflows. ScienceDirect.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Greshake, K. et al. (2023). Not What You've Signed Up For: Compromising Real-World LLM-Integrated Applications with Indirect Prompt Injection. AISec Workshop, ACM CCS.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Invariant Labs (2025). MCP Security Notification: Tool Poisoning Attacks.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ArXiv (2025). The Dark Side of LLMs: Agent-based Attacks for Complete Computer Takeover. arXiv:2507.06850.</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Snyk Research (2025). RAGPoison: Corrupting Vector Databases in Production.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MITRE Corporation (2024). ATLAS: Adversarial Threat Landscape for AI Systems.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Lakera AI (2026). Introduction to Data Poisoning: A 2026 Perspective.</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Cryptographic References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Bernstein, D.J. et al. (2012). High-speed high-security signatures. Journal of Cryptographic Engineering. [Ed25519 foundation]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NIST (2015). FIPS 180-4: Secure Hash Standard (SHS) — SHA-256 / SHA-3 specification.</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Cooper, D. et al. (2008). RFC 5280: Internet X.509 Public Key Infrastructure Certificate and CRL Profile. IETF.</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Nakamoto, S. (2008). Bitcoin: A Peer-to-Peer Electronic Cash System. [Merkle tree audit logging concept]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Rescorla, E. (2018). RFC 8446: The Transport Layer Security (TLS) Protocol Version 1.3. IETF. [mTLS basis]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PyNaCl Documentation (2024). Python binding to libsodium for Ed25519 operations.</w:t>
      </w:r>
    </w:p>
    <w:p>
      <w:pPr>
        <w:spacing w:after="60" w:before="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1A5276"/>
          <w:sz w:val="26"/>
          <w:szCs w:val="26"/>
        </w:rPr>
        <w:t xml:space="preserve">Legal and Regulatory References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European Parliament (2024). Regulation (EU) 2024/1689 — Artificial Intelligence Act.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NIST (2024). Artificial Intelligence Risk Management Framework (AI RMF 1.0). NIST AI 100-1.</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European Commission (2018). General Data Protection Regulation (GDPR) — Regulation (EU) 2016/679.</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California Legislature (2018). California Consumer Privacy Act (CCPA). Cal. Civ. Code § 1798.100.</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Federal Trade Commission (2025). AI Policy Guidance and Enforcement Priorities.</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ENISA (2024). AI Cybersecurity Considerations for the EU AI Act.</w:t>
      </w:r>
    </w:p>
    <w:p>
      <w:pPr>
        <w:pStyle w:val="ListParagraph"/>
        <w:numPr>
          <w:ilvl w:val="0"/>
          <w:numId w:val="2"/>
        </w:numPr>
        <w:spacing w:after="30" w:before="30"/>
      </w:pPr>
      <w:r>
        <w:rPr>
          <w:rFonts w:ascii="Arial" w:cs="Arial" w:eastAsia="Arial" w:hAnsi="Arial"/>
          <w:b w:val="false"/>
          <w:bCs w:val="false"/>
          <w:i w:val="false"/>
          <w:iCs w:val="false"/>
          <w:color w:val="000000"/>
          <w:sz w:val="22"/>
          <w:szCs w:val="22"/>
        </w:rPr>
        <w:t xml:space="preserve">Jones, M. et al. (2024). FAIR Institute: Factor Analysis of Information Risk Methodology v2.0.</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F4E79" w:val="clear"/>
            <w:tcMar>
              <w:top w:type="dxa" w:w="160"/>
              <w:left w:type="dxa" w:w="220"/>
              <w:bottom w:type="dxa" w:w="160"/>
              <w:right w:type="dxa" w:w="220"/>
            </w:tcMar>
          </w:tcPr>
          <w:p>
            <w:pPr>
              <w:spacing w:after="80" w:before="60"/>
            </w:pPr>
            <w:r>
              <w:rPr>
                <w:rFonts w:ascii="Arial" w:cs="Arial" w:eastAsia="Arial" w:hAnsi="Arial"/>
                <w:b/>
                <w:bCs/>
                <w:i w:val="false"/>
                <w:iCs w:val="false"/>
                <w:color w:val="FFFFFF"/>
                <w:sz w:val="22"/>
                <w:szCs w:val="22"/>
              </w:rPr>
              <w:t xml:space="preserve">Submission Note</w:t>
            </w:r>
          </w:p>
          <w:p>
            <w:pPr>
              <w:spacing w:after="30" w:before="30"/>
            </w:pPr>
            <w:r>
              <w:rPr>
                <w:rFonts w:ascii="Arial" w:cs="Arial" w:eastAsia="Arial" w:hAnsi="Arial"/>
                <w:b w:val="false"/>
                <w:bCs w:val="false"/>
                <w:i w:val="false"/>
                <w:iCs w:val="false"/>
                <w:color w:val="FFFFFF"/>
                <w:sz w:val="20"/>
                <w:szCs w:val="20"/>
              </w:rPr>
              <w:t xml:space="preserve">This proposal follows the MSSI Capstone Project Requirements as specified by the Johns Hopkins</w:t>
            </w:r>
          </w:p>
          <w:p>
            <w:pPr>
              <w:spacing w:after="30" w:before="30"/>
            </w:pPr>
            <w:r>
              <w:rPr>
                <w:rFonts w:ascii="Arial" w:cs="Arial" w:eastAsia="Arial" w:hAnsi="Arial"/>
                <w:b w:val="false"/>
                <w:bCs w:val="false"/>
                <w:i w:val="false"/>
                <w:iCs w:val="false"/>
                <w:color w:val="FFFFFF"/>
                <w:sz w:val="20"/>
                <w:szCs w:val="20"/>
              </w:rPr>
              <w:t xml:space="preserve">University Information Security Institute. Version 3.0 extends the original technical security</w:t>
            </w:r>
          </w:p>
          <w:p>
            <w:pPr>
              <w:spacing w:after="30" w:before="30"/>
            </w:pPr>
            <w:r>
              <w:rPr>
                <w:rFonts w:ascii="Arial" w:cs="Arial" w:eastAsia="Arial" w:hAnsi="Arial"/>
                <w:b w:val="false"/>
                <w:bCs w:val="false"/>
                <w:i w:val="false"/>
                <w:iCs w:val="false"/>
                <w:color w:val="FFFFFF"/>
                <w:sz w:val="20"/>
                <w:szCs w:val="20"/>
              </w:rPr>
              <w:t xml:space="preserve">research (MCPoisoner + MCPShield) with: (1) applied cryptography contributions (CryptoMCP —</w:t>
            </w:r>
          </w:p>
          <w:p>
            <w:pPr>
              <w:spacing w:after="30" w:before="30"/>
            </w:pPr>
            <w:r>
              <w:rPr>
                <w:rFonts w:ascii="Arial" w:cs="Arial" w:eastAsia="Arial" w:hAnsi="Arial"/>
                <w:b w:val="false"/>
                <w:bCs w:val="false"/>
                <w:i w:val="false"/>
                <w:iCs w:val="false"/>
                <w:color w:val="FFFFFF"/>
                <w:sz w:val="20"/>
                <w:szCs w:val="20"/>
              </w:rPr>
              <w:t xml:space="preserve">Ed25519 signing, SHA-256 integrity, X.509 PKI, Merkle audit logging), (2) formal system</w:t>
            </w:r>
          </w:p>
          <w:p>
            <w:pPr>
              <w:spacing w:after="30" w:before="30"/>
            </w:pPr>
            <w:r>
              <w:rPr>
                <w:rFonts w:ascii="Arial" w:cs="Arial" w:eastAsia="Arial" w:hAnsi="Arial"/>
                <w:b w:val="false"/>
                <w:bCs w:val="false"/>
                <w:i w:val="false"/>
                <w:iCs w:val="false"/>
                <w:color w:val="FFFFFF"/>
                <w:sz w:val="20"/>
                <w:szCs w:val="20"/>
              </w:rPr>
              <w:t xml:space="preserve">architecture and workflow diagrams for all three systems, and (3) a fully integrated governance</w:t>
            </w:r>
          </w:p>
          <w:p>
            <w:pPr>
              <w:spacing w:after="30" w:before="30"/>
            </w:pPr>
            <w:r>
              <w:rPr>
                <w:rFonts w:ascii="Arial" w:cs="Arial" w:eastAsia="Arial" w:hAnsi="Arial"/>
                <w:b w:val="false"/>
                <w:bCs w:val="false"/>
                <w:i w:val="false"/>
                <w:iCs w:val="false"/>
                <w:color w:val="FFFFFF"/>
                <w:sz w:val="20"/>
                <w:szCs w:val="20"/>
              </w:rPr>
              <w:t xml:space="preserve">and compliance framework — making this a comprehensive, multi-discipline research contribution.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spacing w:before="80"/>
    </w:pPr>
    <w:r>
      <w:rPr>
        <w:rFonts w:ascii="Arial" w:cs="Arial" w:eastAsia="Arial" w:hAnsi="Arial"/>
        <w:b w:val="false"/>
        <w:bCs w:val="false"/>
        <w:i w:val="false"/>
        <w:iCs w:val="false"/>
        <w:color w:val="404040"/>
        <w:sz w:val="18"/>
        <w:szCs w:val="18"/>
      </w:rPr>
      <w:t xml:space="preserve">Confidential — For Faculty Review Only</w:t>
    </w:r>
    <w:r>
      <w:rPr>
        <w:rFonts w:ascii="Arial" w:cs="Arial" w:eastAsia="Arial" w:hAnsi="Arial"/>
        <w:b w:val="false"/>
        <w:bCs w:val="false"/>
        <w:i w:val="false"/>
        <w:iCs w:val="false"/>
        <w:color w:val="40404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spacing w:after="80"/>
    </w:pPr>
    <w:r>
      <w:rPr>
        <w:rFonts w:ascii="Arial" w:cs="Arial" w:eastAsia="Arial" w:hAnsi="Arial"/>
        <w:b w:val="false"/>
        <w:bCs w:val="false"/>
        <w:i w:val="false"/>
        <w:iCs w:val="false"/>
        <w:color w:val="404040"/>
        <w:sz w:val="18"/>
        <w:szCs w:val="18"/>
      </w:rPr>
      <w:t xml:space="preserve">MSSI Capstone Proposal — Securing the AI Agent Supply Chain</w:t>
    </w:r>
    <w:r>
      <w:rPr>
        <w:rFonts w:ascii="Arial" w:cs="Arial" w:eastAsia="Arial" w:hAnsi="Arial"/>
        <w:b w:val="false"/>
        <w:bCs w:val="false"/>
        <w:i w:val="false"/>
        <w:iCs w:val="false"/>
        <w:color w:val="404040"/>
        <w:sz w:val="18"/>
        <w:szCs w:val="18"/>
      </w:rPr>
      <w:t xml:space="preserve">		Johns Hopkins University  |  Fall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2026-04-20T01:52:58.565Z</dcterms:created>
  <dcterms:modified xsi:type="dcterms:W3CDTF">2026-04-20T01:52:58.567Z</dcterms:modified>
</cp:coreProperties>
</file>

<file path=docProps/custom.xml><?xml version="1.0" encoding="utf-8"?>
<Properties xmlns="http://schemas.openxmlformats.org/officeDocument/2006/custom-properties" xmlns:vt="http://schemas.openxmlformats.org/officeDocument/2006/docPropsVTypes"/>
</file>