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</w:pPr>
      <w:r>
        <w:rPr>
          <w:rFonts w:ascii="Calibri" w:hAnsi="Calibri"/>
          <w:b/>
          <w:i w:val="0"/>
          <w:color w:val="E0604E"/>
          <w:sz w:val="22"/>
        </w:rPr>
        <w:t>PRODUCT AND TECHNICAL REPORT</w:t>
      </w:r>
    </w:p>
    <w:p>
      <w:pPr>
        <w:spacing w:after="180"/>
      </w:pPr>
      <w:r>
        <w:rPr>
          <w:rFonts w:ascii="Calibri" w:hAnsi="Calibri"/>
          <w:b/>
          <w:i w:val="0"/>
          <w:color w:val="172B4D"/>
          <w:sz w:val="68"/>
        </w:rPr>
        <w:t>Compass</w:t>
      </w:r>
    </w:p>
    <w:p>
      <w:pPr>
        <w:spacing w:after="480"/>
      </w:pPr>
      <w:r>
        <w:rPr>
          <w:rFonts w:ascii="Calibri" w:hAnsi="Calibri"/>
          <w:b w:val="0"/>
          <w:i w:val="0"/>
          <w:color w:val="596773"/>
          <w:sz w:val="30"/>
        </w:rPr>
        <w:t>An inspectable AI coding workbench for project change, review, and delivery</w:t>
      </w:r>
    </w:p>
    <w:p>
      <w:pPr>
        <w:spacing w:before="80" w:after="160"/>
        <w:ind w:left="202" w:right="202"/>
        <w:shd w:fill="F4F6F9"/>
        <w:pBdr>
          <w:left w:val="single" w:sz="18" w:space="6" w:color="2864DC"/>
        </w:pBdr>
      </w:pPr>
      <w:r>
        <w:rPr>
          <w:rFonts w:ascii="Calibri" w:hAnsi="Calibri"/>
          <w:b/>
          <w:i w:val="0"/>
          <w:color w:val="2864DC"/>
          <w:sz w:val="20"/>
        </w:rPr>
        <w:t>EXECUTIVE SUMMARY</w:t>
        <w:br/>
      </w:r>
      <w:r>
        <w:rPr>
          <w:rFonts w:ascii="Calibri" w:hAnsi="Calibri"/>
          <w:b w:val="0"/>
          <w:i w:val="0"/>
          <w:color w:val="172027"/>
          <w:sz w:val="20"/>
        </w:rPr>
        <w:t>Compass combines a governed LangGraph agent with a local terminal UI and an authenticated web workbench. It helps developers move from project understanding to reviewed changes and GitHub delivery while keeping context, approvals, and run activity visible.</w:t>
      </w:r>
    </w:p>
    <w:p>
      <w:pPr>
        <w:spacing w:before="360"/>
      </w:pPr>
      <w:r>
        <w:rPr>
          <w:rFonts w:ascii="Calibri" w:hAnsi="Calibri"/>
          <w:b w:val="0"/>
          <w:i w:val="0"/>
          <w:color w:val="596773"/>
          <w:sz w:val="20"/>
        </w:rPr>
        <w:t>Prepared from the current Compass implementation</w:t>
        <w:br/>
        <w:t>25 July 2026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rPr>
          <w:rFonts w:ascii="Calibri" w:hAnsi="Calibri"/>
          <w:b w:val="0"/>
          <w:i w:val="0"/>
          <w:color w:val="172027"/>
          <w:sz w:val="22"/>
        </w:rPr>
        <w:t>Compass is a coding assistant designed as a workbench rather than a chat box. It provides a structured route from a developer request to project context, an execution plan, approved tool actions, patch review, and a publishable GitHub outcome.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Local-first terminal workflow for developers working directly in a checked-out repository.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Authenticated browser workspace for isolated uploads and GitHub imports.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Explicit controls for context, interaction mode, patches, approvals, activity, and publishing.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One agent workflow shared across interfaces, with different safety boundaries for local and hosted execution.</w:t>
      </w:r>
    </w:p>
    <w:p>
      <w:pPr>
        <w:spacing w:before="80" w:after="160"/>
        <w:ind w:left="202" w:right="202"/>
        <w:shd w:fill="F4F6F9"/>
        <w:pBdr>
          <w:left w:val="single" w:sz="18" w:space="6" w:color="2864DC"/>
        </w:pBdr>
      </w:pPr>
      <w:r>
        <w:rPr>
          <w:rFonts w:ascii="Calibri" w:hAnsi="Calibri"/>
          <w:b/>
          <w:i w:val="0"/>
          <w:color w:val="2864DC"/>
          <w:sz w:val="20"/>
        </w:rPr>
        <w:t>PRODUCT POSITION</w:t>
        <w:br/>
      </w:r>
      <w:r>
        <w:rPr>
          <w:rFonts w:ascii="Calibri" w:hAnsi="Calibri"/>
          <w:b w:val="0"/>
          <w:i w:val="0"/>
          <w:color w:val="172027"/>
          <w:sz w:val="20"/>
        </w:rPr>
        <w:t>Compass differentiates itself through clarity and control: it makes powerful agent behavior understandable without exposing raw internal reasoning or hiding project-changing operations.</w:t>
      </w:r>
    </w:p>
    <w:p>
      <w:pPr>
        <w:pStyle w:val="Heading1"/>
      </w:pPr>
      <w:r>
        <w:t>2. System architecture</w:t>
      </w:r>
    </w:p>
    <w:p>
      <w:r>
        <w:rPr>
          <w:rFonts w:ascii="Calibri" w:hAnsi="Calibri"/>
          <w:b w:val="0"/>
          <w:i w:val="0"/>
          <w:color w:val="172027"/>
          <w:sz w:val="22"/>
        </w:rPr>
        <w:t>The terminal UI operates on a local repository. The web workbench talks to FastAPI, which owns authentication, sessions, isolated workspaces, runs, patches and GitHub connections. Both use the LangGraph agent workflow.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descr="Compass system architecture connecting the terminal UI and React workbench to FastAPI, LangGraph, PostgreSQL, workspace storage, GitHub and model provid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 w:val="0"/>
          <w:color w:val="172027"/>
          <w:sz w:val="22"/>
        </w:rPr>
        <w:t>Figure 1. Compass joins local and web experiences through one governed agent workflow.</w:t>
      </w:r>
    </w:p>
    <w:p>
      <w:pPr>
        <w:pStyle w:val="Heading1"/>
      </w:pPr>
      <w:r>
        <w:t>3. Feature set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W w:w="9360" w:type="dxa"/>
        <w:tblInd w:w="120" w:type="dxa"/>
      </w:tblPr>
      <w:tblGrid>
        <w:gridCol w:w="2100"/>
        <w:gridCol w:w="5000"/>
        <w:gridCol w:w="2260"/>
      </w:tblGrid>
      <w:tr>
        <w:trPr>
          <w:tblHeader w:val="true"/>
        </w:trPr>
        <w:tc>
          <w:tcPr>
            <w:tcW w:type="dxa" w:w="3120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21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Capability</w:t>
            </w:r>
          </w:p>
        </w:tc>
        <w:tc>
          <w:tcPr>
            <w:tcW w:type="dxa" w:w="312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50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What it enables</w:t>
            </w:r>
          </w:p>
        </w:tc>
        <w:tc>
          <w:tcPr>
            <w:tcW w:type="dxa" w:w="312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226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Surface</w:t>
            </w:r>
          </w:p>
        </w:tc>
      </w:tr>
      <w:tr>
        <w:tc>
          <w:tcPr>
            <w:tcW w:type="dxa" w:w="2100"/>
            <w:shd w:fill="F2F4F7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Project workbench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Files, editor, changes, preview, agent and activity views share one responsive workspace state.</w:t>
            </w:r>
          </w:p>
        </w:tc>
        <w:tc>
          <w:tcPr>
            <w:tcW w:type="dxa" w:w="226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Web</w:t>
            </w:r>
          </w:p>
        </w:tc>
      </w:tr>
      <w:tr>
        <w:tc>
          <w:tcPr>
            <w:tcW w:type="dxa" w:w="2100"/>
            <w:shd w:fill="F2F4F7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Agent execution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18"/>
              </w:rPr>
              <w:t>Ask, Edit, Plan and Goal modes route work through planning, tools, guardrails, recovery and evaluation.</w:t>
            </w:r>
          </w:p>
        </w:tc>
        <w:tc>
          <w:tcPr>
            <w:tcW w:type="dxa" w:w="226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TUI + web</w:t>
            </w:r>
          </w:p>
        </w:tc>
      </w:tr>
      <w:tr>
        <w:tc>
          <w:tcPr>
            <w:tcW w:type="dxa" w:w="2100"/>
            <w:shd w:fill="F2F4F7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Context intelligence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File search, semantic retrieval/RAG, pinned files, session history, skills and task state.</w:t>
            </w:r>
          </w:p>
        </w:tc>
        <w:tc>
          <w:tcPr>
            <w:tcW w:type="dxa" w:w="226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Agent + workbench</w:t>
            </w:r>
          </w:p>
        </w:tc>
      </w:tr>
      <w:tr>
        <w:tc>
          <w:tcPr>
            <w:tcW w:type="dxa" w:w="2100"/>
            <w:shd w:fill="F2F4F7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Review and recovery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Patch counts, diff review, accept/reject, undo, run stages, failure details and loop recovery.</w:t>
            </w:r>
          </w:p>
        </w:tc>
        <w:tc>
          <w:tcPr>
            <w:tcW w:type="dxa" w:w="226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TUI + web</w:t>
            </w:r>
          </w:p>
        </w:tc>
      </w:tr>
      <w:tr>
        <w:tc>
          <w:tcPr>
            <w:tcW w:type="dxa" w:w="2100"/>
            <w:shd w:fill="F2F4F7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GitHub delivery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Separate repository connection, import, branch creation, commits and draft pull requests.</w:t>
            </w:r>
          </w:p>
        </w:tc>
        <w:tc>
          <w:tcPr>
            <w:tcW w:type="dxa" w:w="226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Web + TUI helpers</w:t>
            </w:r>
          </w:p>
        </w:tc>
      </w:tr>
      <w:tr>
        <w:tc>
          <w:tcPr>
            <w:tcW w:type="dxa" w:w="2100"/>
            <w:shd w:fill="F2F4F7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Local integrations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Local MCP configuration, custom tools, skills, shell execution and repository configuration.</w:t>
            </w:r>
          </w:p>
        </w:tc>
        <w:tc>
          <w:tcPr>
            <w:tcW w:type="dxa" w:w="2260"/>
            <w:tcW w:w="2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TUI only</w:t>
            </w:r>
          </w:p>
        </w:tc>
      </w:tr>
    </w:tbl>
    <w:p>
      <w:pPr>
        <w:spacing w:after="40"/>
      </w:pP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W w:w="9360" w:type="dxa"/>
        <w:tblInd w:w="120" w:type="dxa"/>
      </w:tblPr>
      <w:tblGrid>
        <w:gridCol w:w="1750"/>
        <w:gridCol w:w="3500"/>
        <w:gridCol w:w="4110"/>
      </w:tblGrid>
      <w:tr>
        <w:trPr>
          <w:tblHeader w:val="true"/>
        </w:trPr>
        <w:tc>
          <w:tcPr>
            <w:tcW w:type="dxa" w:w="3120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175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Layer</w:t>
            </w:r>
          </w:p>
        </w:tc>
        <w:tc>
          <w:tcPr>
            <w:tcW w:type="dxa" w:w="312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3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Primary technologies</w:t>
            </w:r>
          </w:p>
        </w:tc>
        <w:tc>
          <w:tcPr>
            <w:tcW w:type="dxa" w:w="312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411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Role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Frontend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React 19, TypeScript, Vite, Tailwind CSS, Base UI, CodeMirror, WebContainers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Responsive workbench, editor, diff, preview and accessible controls.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Backend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FastAPI, Pydantic, SQLAlchemy, Alembic, Uvicorn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Authenticated REST/WebSocket API and product services.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Agent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LangGraph, LangChain, provider adapters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Planning, models, tools, recovery and persistent routing.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Persistence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PostgreSQL, psycopg, LangGraph Postgres checkpointing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Users, sessions, messages, runs, patches, workspaces and resumable state.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Intelligence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RAG indexing, chunking, retrieval, embeddings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Relevant project evidence and semantic source search.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Safety + operations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NeMo Guardrails, JWT, OAuth, encryption, logging, rate limiting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Input/output policy, identity, credentials and operational visibility.</w:t>
            </w:r>
          </w:p>
        </w:tc>
      </w:tr>
      <w:tr>
        <w:tc>
          <w:tcPr>
            <w:tcW w:type="dxa" w:w="1750"/>
            <w:shd w:fill="F2F4F7"/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Delivery</w:t>
            </w:r>
          </w:p>
        </w:tc>
        <w:tc>
          <w:tcPr>
            <w:tcW w:type="dxa" w:w="3500"/>
            <w:tcW w:w="3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GitHub OAuth/PAT, Docker Compose, Nginx</w:t>
            </w:r>
          </w:p>
        </w:tc>
        <w:tc>
          <w:tcPr>
            <w:tcW w:type="dxa" w:w="4110"/>
            <w:tcW w:w="4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Repository integration and deployable packaging.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Workflow graph and modes</w:t>
      </w:r>
    </w:p>
    <w:p>
      <w:r>
        <w:rPr>
          <w:rFonts w:ascii="Calibri" w:hAnsi="Calibri"/>
          <w:b w:val="0"/>
          <w:i w:val="0"/>
          <w:color w:val="172027"/>
          <w:sz w:val="22"/>
        </w:rPr>
        <w:t>The graph keeps project-changing activity visible. It checks the request, builds context, plans when required, evaluates each side effect against policy, records tool activity, and validates the result before completion.</w:t>
      </w:r>
    </w:p>
    <w:p>
      <w:r>
        <w:drawing>
          <wp:inline xmlns:a="http://schemas.openxmlformats.org/drawingml/2006/main" xmlns:pic="http://schemas.openxmlformats.org/drawingml/2006/picture">
            <wp:extent cx="5897880" cy="4128516"/>
            <wp:docPr id="2" name="Picture 2" descr="Compass execution workflow from user task through guardrails, context and planning, executor, approval-controlled tools, validation and result recor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 w:val="0"/>
          <w:color w:val="172027"/>
          <w:sz w:val="22"/>
        </w:rPr>
        <w:t>Figure 2. Main execution path and approval-controlled tool loop.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W w:w="9360" w:type="dxa"/>
        <w:tblInd w:w="120" w:type="dxa"/>
      </w:tblPr>
      <w:tblGrid>
        <w:gridCol w:w="1500"/>
        <w:gridCol w:w="3700"/>
        <w:gridCol w:w="4160"/>
      </w:tblGrid>
      <w:tr>
        <w:trPr>
          <w:tblHeader w:val="true"/>
        </w:trPr>
        <w:tc>
          <w:tcPr>
            <w:tcW w:type="dxa" w:w="3120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1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Mode</w:t>
            </w:r>
          </w:p>
        </w:tc>
        <w:tc>
          <w:tcPr>
            <w:tcW w:type="dxa" w:w="3120"/>
            <w:tcW w:w="3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37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Intent</w:t>
            </w:r>
          </w:p>
        </w:tc>
        <w:tc>
          <w:tcPr>
            <w:tcW w:type="dxa" w:w="3120"/>
            <w:tcW w:w="4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416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Control model</w:t>
            </w:r>
          </w:p>
        </w:tc>
      </w:tr>
      <w:tr>
        <w:tc>
          <w:tcPr>
            <w:tcW w:type="dxa" w:w="1500"/>
            <w:shd w:fill="F2F4F7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Ask</w:t>
            </w:r>
          </w:p>
        </w:tc>
        <w:tc>
          <w:tcPr>
            <w:tcW w:type="dxa" w:w="3700"/>
            <w:tcW w:w="3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Understand code, explain behavior or research.</w:t>
            </w:r>
          </w:p>
        </w:tc>
        <w:tc>
          <w:tcPr>
            <w:tcW w:type="dxa" w:w="4160"/>
            <w:tcW w:w="4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Read-oriented and can answer directly.</w:t>
            </w:r>
          </w:p>
        </w:tc>
      </w:tr>
      <w:tr>
        <w:tc>
          <w:tcPr>
            <w:tcW w:type="dxa" w:w="1500"/>
            <w:shd w:fill="F2F4F7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Edit</w:t>
            </w:r>
          </w:p>
        </w:tc>
        <w:tc>
          <w:tcPr>
            <w:tcW w:type="dxa" w:w="3700"/>
            <w:tcW w:w="3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Make bounded project changes.</w:t>
            </w:r>
          </w:p>
        </w:tc>
        <w:tc>
          <w:tcPr>
            <w:tcW w:type="dxa" w:w="4160"/>
            <w:tcW w:w="4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Risky actions follow approval policy.</w:t>
            </w:r>
          </w:p>
        </w:tc>
      </w:tr>
      <w:tr>
        <w:tc>
          <w:tcPr>
            <w:tcW w:type="dxa" w:w="1500"/>
            <w:shd w:fill="F2F4F7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Plan</w:t>
            </w:r>
          </w:p>
        </w:tc>
        <w:tc>
          <w:tcPr>
            <w:tcW w:type="dxa" w:w="3700"/>
            <w:tcW w:w="3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Produce a reviewable plan before acting.</w:t>
            </w:r>
          </w:p>
        </w:tc>
        <w:tc>
          <w:tcPr>
            <w:tcW w:type="dxa" w:w="4160"/>
            <w:tcW w:w="4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Explicit plan approval gate.</w:t>
            </w:r>
          </w:p>
        </w:tc>
      </w:tr>
      <w:tr>
        <w:tc>
          <w:tcPr>
            <w:tcW w:type="dxa" w:w="1500"/>
            <w:shd w:fill="F2F4F7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Goal</w:t>
            </w:r>
          </w:p>
        </w:tc>
        <w:tc>
          <w:tcPr>
            <w:tcW w:type="dxa" w:w="3700"/>
            <w:tcW w:w="3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Pursue a larger outcome with validation and recovery.</w:t>
            </w:r>
          </w:p>
        </w:tc>
        <w:tc>
          <w:tcPr>
            <w:tcW w:type="dxa" w:w="4160"/>
            <w:tcW w:w="4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Multi-step progress; risky actions remain governed.</w:t>
            </w:r>
          </w:p>
        </w:tc>
      </w:tr>
    </w:tbl>
    <w:p>
      <w:pPr>
        <w:spacing w:after="40"/>
      </w:pPr>
    </w:p>
    <w:p>
      <w:pPr>
        <w:pStyle w:val="Heading1"/>
      </w:pPr>
      <w:r>
        <w:t>6. Problems Compass solves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W w:w="9360" w:type="dxa"/>
        <w:tblInd w:w="120" w:type="dxa"/>
      </w:tblPr>
      <w:tblGrid>
        <w:gridCol w:w="2250"/>
        <w:gridCol w:w="4400"/>
        <w:gridCol w:w="2710"/>
      </w:tblGrid>
      <w:tr>
        <w:trPr>
          <w:tblHeader w:val="true"/>
        </w:trPr>
        <w:tc>
          <w:tcPr>
            <w:tcW w:type="dxa" w:w="3120"/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225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Developer problem</w:t>
            </w:r>
          </w:p>
        </w:tc>
        <w:tc>
          <w:tcPr>
            <w:tcW w:type="dxa" w:w="3120"/>
            <w:tcW w:w="4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44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Compass response</w:t>
            </w:r>
          </w:p>
        </w:tc>
        <w:tc>
          <w:tcPr>
            <w:tcW w:type="dxa" w:w="3120"/>
            <w:tcW w:w="2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271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Value</w:t>
            </w:r>
          </w:p>
        </w:tc>
      </w:tr>
      <w:tr>
        <w:tc>
          <w:tcPr>
            <w:tcW w:type="dxa" w:w="2250"/>
            <w:shd w:fill="F2F4F7"/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Large codebases are hard to orient.</w:t>
            </w:r>
          </w:p>
        </w:tc>
        <w:tc>
          <w:tcPr>
            <w:tcW w:type="dxa" w:w="4400"/>
            <w:tcW w:w="4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Trees, search, RAG retrieval, pinned context and history surface relevant evidence.</w:t>
            </w:r>
          </w:p>
        </w:tc>
        <w:tc>
          <w:tcPr>
            <w:tcW w:type="dxa" w:w="2710"/>
            <w:tcW w:w="2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Faster understanding with traceable context.</w:t>
            </w:r>
          </w:p>
        </w:tc>
      </w:tr>
      <w:tr>
        <w:tc>
          <w:tcPr>
            <w:tcW w:type="dxa" w:w="2250"/>
            <w:shd w:fill="F2F4F7"/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Chat-only agents obscure execution.</w:t>
            </w:r>
          </w:p>
        </w:tc>
        <w:tc>
          <w:tcPr>
            <w:tcW w:type="dxa" w:w="4400"/>
            <w:tcW w:w="4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Run rails, activity, tools, affected files and approvals make work visible.</w:t>
            </w:r>
          </w:p>
        </w:tc>
        <w:tc>
          <w:tcPr>
            <w:tcW w:type="dxa" w:w="2710"/>
            <w:tcW w:w="2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Higher trust and easier intervention.</w:t>
            </w:r>
          </w:p>
        </w:tc>
      </w:tr>
      <w:tr>
        <w:tc>
          <w:tcPr>
            <w:tcW w:type="dxa" w:w="2250"/>
            <w:shd w:fill="F2F4F7"/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Review is often bolted on late.</w:t>
            </w:r>
          </w:p>
        </w:tc>
        <w:tc>
          <w:tcPr>
            <w:tcW w:type="dxa" w:w="4400"/>
            <w:tcW w:w="4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Patches, real diff statistics, review controls, bulk actions and undo are central.</w:t>
            </w:r>
          </w:p>
        </w:tc>
        <w:tc>
          <w:tcPr>
            <w:tcW w:type="dxa" w:w="2710"/>
            <w:tcW w:w="2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Safer changes and clearer ownership.</w:t>
            </w:r>
          </w:p>
        </w:tc>
      </w:tr>
      <w:tr>
        <w:tc>
          <w:tcPr>
            <w:tcW w:type="dxa" w:w="2250"/>
            <w:shd w:fill="F2F4F7"/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Delivery requires repetitive handoffs.</w:t>
            </w:r>
          </w:p>
        </w:tc>
        <w:tc>
          <w:tcPr>
            <w:tcW w:type="dxa" w:w="4400"/>
            <w:tcW w:w="4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Repository import, branch, commit and pull request steps live in one flow.</w:t>
            </w:r>
          </w:p>
        </w:tc>
        <w:tc>
          <w:tcPr>
            <w:tcW w:type="dxa" w:w="2710"/>
            <w:tcW w:w="2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Shorter path from task to reviewed delivery.</w:t>
            </w:r>
          </w:p>
        </w:tc>
      </w:tr>
      <w:tr>
        <w:tc>
          <w:tcPr>
            <w:tcW w:type="dxa" w:w="2250"/>
            <w:shd w:fill="F2F4F7"/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Hosted agents can expose local risk.</w:t>
            </w:r>
          </w:p>
        </w:tc>
        <w:tc>
          <w:tcPr>
            <w:tcW w:type="dxa" w:w="4400"/>
            <w:tcW w:w="4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Per-user workspaces, ownership checks, path validation, shell and MCP restrictions.</w:t>
            </w:r>
          </w:p>
        </w:tc>
        <w:tc>
          <w:tcPr>
            <w:tcW w:type="dxa" w:w="2710"/>
            <w:tcW w:w="2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A safer boundary for web development.</w:t>
            </w:r>
          </w:p>
        </w:tc>
      </w:tr>
    </w:tbl>
    <w:p>
      <w:pPr>
        <w:spacing w:after="40"/>
      </w:pPr>
    </w:p>
    <w:p>
      <w:pPr>
        <w:pStyle w:val="Heading1"/>
      </w:pPr>
      <w:r>
        <w:t>7. Safety and operating model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Read/search operations can proceed under the default policy; local writes, edits and shell commands are classified as risky.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Approvals offer Yes, No, Always and Skip decisions.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Hosted mode removes shell execution and rejects browser-configured command MCP servers.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Web workspaces are ownership-checked and reject absolute paths or traversal.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GitHub access is separate from identity login; stored provider credentials are encrypted by the backend.</w:t>
      </w:r>
    </w:p>
    <w:p>
      <w:pPr>
        <w:spacing w:before="80" w:after="160"/>
        <w:ind w:left="202" w:right="202"/>
        <w:shd w:fill="F4F6F9"/>
        <w:pBdr>
          <w:left w:val="single" w:sz="18" w:space="6" w:color="2864DC"/>
        </w:pBdr>
      </w:pPr>
      <w:r>
        <w:rPr>
          <w:rFonts w:ascii="Calibri" w:hAnsi="Calibri"/>
          <w:b/>
          <w:i w:val="0"/>
          <w:color w:val="2864DC"/>
          <w:sz w:val="20"/>
        </w:rPr>
        <w:t>IMPORTANT</w:t>
        <w:br/>
      </w:r>
      <w:r>
        <w:rPr>
          <w:rFonts w:ascii="Calibri" w:hAnsi="Calibri"/>
          <w:b w:val="0"/>
          <w:i w:val="0"/>
          <w:color w:val="172027"/>
          <w:sz w:val="20"/>
        </w:rPr>
        <w:t>AI-generated changes still require engineering review. The intended loop is: inspect context -&gt; approve relevant side effects -&gt; review the patch -&gt; validate -&gt; publish through a pull request.</w:t>
      </w:r>
    </w:p>
    <w:p>
      <w:pPr>
        <w:pStyle w:val="Heading1"/>
      </w:pPr>
      <w:r>
        <w:t>8. Future improvements</w:t>
      </w:r>
    </w:p>
    <w:p>
      <w:r>
        <w:rPr>
          <w:rFonts w:ascii="Calibri" w:hAnsi="Calibri"/>
          <w:b w:val="0"/>
          <w:i w:val="0"/>
          <w:color w:val="172027"/>
          <w:sz w:val="22"/>
        </w:rPr>
        <w:t>These recommendations are proposed improvements, not claims about shipped capability.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W w:w="9360" w:type="dxa"/>
        <w:tblInd w:w="120" w:type="dxa"/>
      </w:tblPr>
      <w:tblGrid>
        <w:gridCol w:w="1450"/>
        <w:gridCol w:w="5000"/>
        <w:gridCol w:w="2910"/>
      </w:tblGrid>
      <w:tr>
        <w:trPr>
          <w:tblHeader w:val="true"/>
        </w:trPr>
        <w:tc>
          <w:tcPr>
            <w:tcW w:type="dxa" w:w="3120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145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Horizon</w:t>
            </w:r>
          </w:p>
        </w:tc>
        <w:tc>
          <w:tcPr>
            <w:tcW w:type="dxa" w:w="312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50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Recommendation</w:t>
            </w:r>
          </w:p>
        </w:tc>
        <w:tc>
          <w:tcPr>
            <w:tcW w:type="dxa" w:w="312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shd w:fill="E8EEF8"/>
            <w:tcW w:w="291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Expected outcome</w:t>
            </w:r>
          </w:p>
        </w:tc>
      </w:tr>
      <w:tr>
        <w:tc>
          <w:tcPr>
            <w:tcW w:type="dxa" w:w="1450"/>
            <w:shd w:fill="F2F4F7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Near term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18"/>
              </w:rPr>
              <w:t>Unify TUI slash-command metadata and handlers; add regression coverage for routing and safety decisions.</w:t>
            </w:r>
          </w:p>
        </w:tc>
        <w:tc>
          <w:tcPr>
            <w:tcW w:type="dxa" w:w="291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Lower maintenance cost and more reliable local operations.</w:t>
            </w:r>
          </w:p>
        </w:tc>
      </w:tr>
      <w:tr>
        <w:tc>
          <w:tcPr>
            <w:tcW w:type="dxa" w:w="1450"/>
            <w:shd w:fill="F2F4F7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Near term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Automate UI coverage for auth, command palette, review, GitHub states and responsive layouts.</w:t>
            </w:r>
          </w:p>
        </w:tc>
        <w:tc>
          <w:tcPr>
            <w:tcW w:type="dxa" w:w="291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Protect the completed workbench from regressions.</w:t>
            </w:r>
          </w:p>
        </w:tc>
      </w:tr>
      <w:tr>
        <w:tc>
          <w:tcPr>
            <w:tcW w:type="dxa" w:w="1450"/>
            <w:shd w:fill="F2F4F7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Next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Expand GitHub conflict, permission, retry and repository-selection recovery states.</w:t>
            </w:r>
          </w:p>
        </w:tc>
        <w:tc>
          <w:tcPr>
            <w:tcW w:type="dxa" w:w="291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Clearer production delivery.</w:t>
            </w:r>
          </w:p>
        </w:tc>
      </w:tr>
      <w:tr>
        <w:tc>
          <w:tcPr>
            <w:tcW w:type="dxa" w:w="1450"/>
            <w:shd w:fill="F2F4F7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Next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Add observability for stage latency, tool reliability, approvals and patch outcomes.</w:t>
            </w:r>
          </w:p>
        </w:tc>
        <w:tc>
          <w:tcPr>
            <w:tcW w:type="dxa" w:w="291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Evidence-based quality and cost improvements.</w:t>
            </w:r>
          </w:p>
        </w:tc>
      </w:tr>
      <w:tr>
        <w:tc>
          <w:tcPr>
            <w:tcW w:type="dxa" w:w="1450"/>
            <w:shd w:fill="F2F4F7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Later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Introduce reusable team/workflow templates after core contracts stabilize.</w:t>
            </w:r>
          </w:p>
        </w:tc>
        <w:tc>
          <w:tcPr>
            <w:tcW w:type="dxa" w:w="291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Composable automation without diluting the workbench.</w:t>
            </w:r>
          </w:p>
        </w:tc>
      </w:tr>
      <w:tr>
        <w:tc>
          <w:tcPr>
            <w:tcW w:type="dxa" w:w="1450"/>
            <w:shd w:fill="F2F4F7"/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27"/>
                <w:sz w:val="20"/>
              </w:rPr>
              <w:t>Later</w:t>
            </w:r>
          </w:p>
        </w:tc>
        <w:tc>
          <w:tcPr>
            <w:tcW w:type="dxa" w:w="5000"/>
            <w:tcW w:w="5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Formalize policy administration, retention controls, audit export and enterprise identity.</w:t>
            </w:r>
          </w:p>
        </w:tc>
        <w:tc>
          <w:tcPr>
            <w:tcW w:type="dxa" w:w="2910"/>
            <w:tcW w:w="2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7"/>
                <w:sz w:val="20"/>
              </w:rPr>
              <w:t>Stronger deployment governance.</w:t>
            </w:r>
          </w:p>
        </w:tc>
      </w:tr>
    </w:tbl>
    <w:p>
      <w:pPr>
        <w:spacing w:after="40"/>
      </w:pPr>
    </w:p>
    <w:p>
      <w:pPr>
        <w:pStyle w:val="Heading1"/>
      </w:pPr>
      <w:r>
        <w:t>9. Evaluation criteria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Task success: correct and reviewable outcomes.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Control quality: understandable context, tools, changes and approvals.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Safety: effective workspace, credential and hosted-boundary enforcement.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Delivery quality: reliable branch, commit and pull-request recovery paths.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72027"/>
          <w:sz w:val="22"/>
        </w:rPr>
        <w:t>Experience quality: accessible, responsive and readable desktop/mobile operation.</w:t>
      </w:r>
    </w:p>
    <w:p>
      <w:pPr>
        <w:pStyle w:val="Heading1"/>
      </w:pPr>
      <w:r>
        <w:t>10. Conclusion</w:t>
      </w:r>
    </w:p>
    <w:p>
      <w:r>
        <w:rPr>
          <w:rFonts w:ascii="Calibri" w:hAnsi="Calibri"/>
          <w:b w:val="0"/>
          <w:i w:val="0"/>
          <w:color w:val="172027"/>
          <w:sz w:val="22"/>
        </w:rPr>
        <w:t>Compass is positioned as a controlled AI development environment. Its strongest product decision is combining automation with inspectable context, approval-aware actions, first-class patch review and an intentional route to GitHub delivery. Future work should strengthen reliability, observability and deployment governance while preserving that control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6773"/>
        <w:sz w:val="16"/>
      </w:rPr>
      <w:t xml:space="preserve">Compass -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96773"/>
        <w:sz w:val="16"/>
      </w:rPr>
      <w:t>COMPASS  |  PRODUCT AND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864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64D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B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i/>
      <w:color w:val="5967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