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4AAD" w14:textId="77777777" w:rsidR="00DF442C" w:rsidRPr="00DA7DF5" w:rsidRDefault="00DF442C" w:rsidP="00DA7DF5">
      <w:pPr>
        <w:spacing w:line="480" w:lineRule="auto"/>
        <w:jc w:val="center"/>
        <w:rPr>
          <w:rFonts w:ascii="Times New Roman" w:hAnsi="Times New Roman" w:cs="Times New Roman"/>
          <w:b/>
          <w:bCs/>
          <w:sz w:val="24"/>
          <w:szCs w:val="24"/>
          <w:u w:val="single"/>
        </w:rPr>
      </w:pPr>
      <w:r w:rsidRPr="00DA7DF5">
        <w:rPr>
          <w:rFonts w:ascii="Times New Roman" w:hAnsi="Times New Roman" w:cs="Times New Roman"/>
          <w:b/>
          <w:bCs/>
          <w:sz w:val="24"/>
          <w:szCs w:val="24"/>
          <w:u w:val="single"/>
        </w:rPr>
        <w:t>Incident Response Memorandum</w:t>
      </w:r>
    </w:p>
    <w:p w14:paraId="0D5B9B21"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To:</w:t>
      </w:r>
      <w:r w:rsidRPr="00DA7DF5">
        <w:rPr>
          <w:rFonts w:ascii="Times New Roman" w:hAnsi="Times New Roman" w:cs="Times New Roman"/>
          <w:sz w:val="24"/>
          <w:szCs w:val="24"/>
        </w:rPr>
        <w:t xml:space="preserve"> Michael Carter, IT Director</w:t>
      </w:r>
      <w:r w:rsidRPr="00DA7DF5">
        <w:rPr>
          <w:rFonts w:ascii="Times New Roman" w:hAnsi="Times New Roman" w:cs="Times New Roman"/>
          <w:sz w:val="24"/>
          <w:szCs w:val="24"/>
        </w:rPr>
        <w:br/>
      </w:r>
      <w:r w:rsidRPr="00DA7DF5">
        <w:rPr>
          <w:rFonts w:ascii="Times New Roman" w:hAnsi="Times New Roman" w:cs="Times New Roman"/>
          <w:b/>
          <w:bCs/>
          <w:sz w:val="24"/>
          <w:szCs w:val="24"/>
        </w:rPr>
        <w:t>From:</w:t>
      </w:r>
      <w:r w:rsidRPr="00DA7DF5">
        <w:rPr>
          <w:rFonts w:ascii="Times New Roman" w:hAnsi="Times New Roman" w:cs="Times New Roman"/>
          <w:sz w:val="24"/>
          <w:szCs w:val="24"/>
        </w:rPr>
        <w:t xml:space="preserve"> Gokul Krishna, Network Security Analyst</w:t>
      </w:r>
      <w:r w:rsidRPr="00DA7DF5">
        <w:rPr>
          <w:rFonts w:ascii="Times New Roman" w:hAnsi="Times New Roman" w:cs="Times New Roman"/>
          <w:sz w:val="24"/>
          <w:szCs w:val="24"/>
        </w:rPr>
        <w:br/>
      </w:r>
      <w:r w:rsidRPr="00DA7DF5">
        <w:rPr>
          <w:rFonts w:ascii="Times New Roman" w:hAnsi="Times New Roman" w:cs="Times New Roman"/>
          <w:b/>
          <w:bCs/>
          <w:sz w:val="24"/>
          <w:szCs w:val="24"/>
        </w:rPr>
        <w:t>Date:</w:t>
      </w:r>
      <w:r w:rsidRPr="00DA7DF5">
        <w:rPr>
          <w:rFonts w:ascii="Times New Roman" w:hAnsi="Times New Roman" w:cs="Times New Roman"/>
          <w:sz w:val="24"/>
          <w:szCs w:val="24"/>
        </w:rPr>
        <w:t xml:space="preserve"> July 2026</w:t>
      </w:r>
      <w:r w:rsidRPr="00DA7DF5">
        <w:rPr>
          <w:rFonts w:ascii="Times New Roman" w:hAnsi="Times New Roman" w:cs="Times New Roman"/>
          <w:sz w:val="24"/>
          <w:szCs w:val="24"/>
        </w:rPr>
        <w:br/>
      </w:r>
      <w:r w:rsidRPr="00DA7DF5">
        <w:rPr>
          <w:rFonts w:ascii="Times New Roman" w:hAnsi="Times New Roman" w:cs="Times New Roman"/>
          <w:b/>
          <w:bCs/>
          <w:sz w:val="24"/>
          <w:szCs w:val="24"/>
        </w:rPr>
        <w:t>Subject:</w:t>
      </w:r>
      <w:r w:rsidRPr="00DA7DF5">
        <w:rPr>
          <w:rFonts w:ascii="Times New Roman" w:hAnsi="Times New Roman" w:cs="Times New Roman"/>
          <w:sz w:val="24"/>
          <w:szCs w:val="24"/>
        </w:rPr>
        <w:t xml:space="preserve"> Incident Response Recommendations for Network Traffic Analysis</w:t>
      </w:r>
    </w:p>
    <w:p w14:paraId="51DD10DA"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Purpose</w:t>
      </w:r>
    </w:p>
    <w:p w14:paraId="274F9099" w14:textId="1FF0DF48" w:rsidR="00DF442C"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Pr="00DA7DF5">
        <w:rPr>
          <w:rFonts w:ascii="Times New Roman" w:hAnsi="Times New Roman" w:cs="Times New Roman"/>
          <w:sz w:val="24"/>
          <w:szCs w:val="24"/>
        </w:rPr>
        <w:t xml:space="preserve">During the review of one hour of live network flow data against the established 30-day </w:t>
      </w:r>
      <w:r w:rsidRPr="00DA7DF5">
        <w:rPr>
          <w:rFonts w:ascii="Times New Roman" w:hAnsi="Times New Roman" w:cs="Times New Roman"/>
          <w:sz w:val="24"/>
          <w:szCs w:val="24"/>
        </w:rPr>
        <w:t>behavioural</w:t>
      </w:r>
      <w:r w:rsidRPr="00DA7DF5">
        <w:rPr>
          <w:rFonts w:ascii="Times New Roman" w:hAnsi="Times New Roman" w:cs="Times New Roman"/>
          <w:sz w:val="24"/>
          <w:szCs w:val="24"/>
        </w:rPr>
        <w:t xml:space="preserve"> baseline, three significant anomalies were identified. These include one beaconing pattern, one internal port scan indicating possible lateral movement and one large outbound data transfer consistent with potential data exfiltration. This memorandum provides recommendations </w:t>
      </w:r>
      <w:r w:rsidRPr="00DA7DF5">
        <w:rPr>
          <w:rFonts w:ascii="Times New Roman" w:hAnsi="Times New Roman" w:cs="Times New Roman"/>
          <w:sz w:val="24"/>
          <w:szCs w:val="24"/>
        </w:rPr>
        <w:t>on which security responses should be automated and which should require</w:t>
      </w:r>
      <w:r w:rsidRPr="00DA7DF5">
        <w:rPr>
          <w:rFonts w:ascii="Times New Roman" w:hAnsi="Times New Roman" w:cs="Times New Roman"/>
          <w:sz w:val="24"/>
          <w:szCs w:val="24"/>
        </w:rPr>
        <w:t xml:space="preserve"> human approval. The goal is to protect the organization while minimizing disruption to critical church and school services. </w:t>
      </w:r>
    </w:p>
    <w:p w14:paraId="326B11E1"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Finding 1 – Beaconing Activity</w:t>
      </w:r>
    </w:p>
    <w:p w14:paraId="5099A57A"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Host:</w:t>
      </w:r>
      <w:r w:rsidRPr="00DA7DF5">
        <w:rPr>
          <w:rFonts w:ascii="Times New Roman" w:hAnsi="Times New Roman" w:cs="Times New Roman"/>
          <w:sz w:val="24"/>
          <w:szCs w:val="24"/>
        </w:rPr>
        <w:t xml:space="preserve"> 10.20.4.62</w:t>
      </w:r>
    </w:p>
    <w:p w14:paraId="316E10C3"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Recommendation</w:t>
      </w:r>
    </w:p>
    <w:p w14:paraId="1B7DF358" w14:textId="420794FC" w:rsidR="00DA7DF5"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Pr="00DA7DF5">
        <w:rPr>
          <w:rFonts w:ascii="Times New Roman" w:hAnsi="Times New Roman" w:cs="Times New Roman"/>
          <w:sz w:val="24"/>
          <w:szCs w:val="24"/>
        </w:rPr>
        <w:t xml:space="preserve">The detector should automatically generate an alert whenever regular beaconing </w:t>
      </w:r>
      <w:r w:rsidRPr="00DA7DF5">
        <w:rPr>
          <w:rFonts w:ascii="Times New Roman" w:hAnsi="Times New Roman" w:cs="Times New Roman"/>
          <w:sz w:val="24"/>
          <w:szCs w:val="24"/>
        </w:rPr>
        <w:t>behaviour</w:t>
      </w:r>
      <w:r w:rsidRPr="00DA7DF5">
        <w:rPr>
          <w:rFonts w:ascii="Times New Roman" w:hAnsi="Times New Roman" w:cs="Times New Roman"/>
          <w:sz w:val="24"/>
          <w:szCs w:val="24"/>
        </w:rPr>
        <w:t xml:space="preserve"> is observed. However, automatic blocking should not occur after the first detection. Beaconing can occasionally be caused by legitimate software updates, cloud management agents or vendor applications. Blocking the inference server without verification could interrupt AI services that support the organization.</w:t>
      </w:r>
    </w:p>
    <w:p w14:paraId="3930A091" w14:textId="71566C19"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Responsible Decision Owner</w:t>
      </w:r>
    </w:p>
    <w:p w14:paraId="198C9CEA"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IT Security Administrator</w:t>
      </w:r>
    </w:p>
    <w:p w14:paraId="426C865D"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lastRenderedPageBreak/>
        <w:t>Rollback Plan</w:t>
      </w:r>
    </w:p>
    <w:p w14:paraId="586B70F4" w14:textId="5A8B5594" w:rsidR="00DF442C"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00DF442C" w:rsidRPr="00DA7DF5">
        <w:rPr>
          <w:rFonts w:ascii="Times New Roman" w:hAnsi="Times New Roman" w:cs="Times New Roman"/>
          <w:sz w:val="24"/>
          <w:szCs w:val="24"/>
        </w:rPr>
        <w:t>If investigation confirms legitimate communication, remove the temporary monitoring rule, document the destination as approved and update the baseline profile so future traffic is recognized as normal.</w:t>
      </w:r>
    </w:p>
    <w:p w14:paraId="236BC93B"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Finding 2 – Port Scan / Possible Lateral Movement</w:t>
      </w:r>
    </w:p>
    <w:p w14:paraId="7913AFAD"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Host:</w:t>
      </w:r>
      <w:r w:rsidRPr="00DA7DF5">
        <w:rPr>
          <w:rFonts w:ascii="Times New Roman" w:hAnsi="Times New Roman" w:cs="Times New Roman"/>
          <w:sz w:val="24"/>
          <w:szCs w:val="24"/>
        </w:rPr>
        <w:t xml:space="preserve"> 10.20.4.77</w:t>
      </w:r>
    </w:p>
    <w:p w14:paraId="0347787C"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Recommendation</w:t>
      </w:r>
    </w:p>
    <w:p w14:paraId="6903D2A8" w14:textId="52B56C38" w:rsidR="00DA7DF5"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Pr="00DA7DF5">
        <w:rPr>
          <w:rFonts w:ascii="Times New Roman" w:hAnsi="Times New Roman" w:cs="Times New Roman"/>
          <w:sz w:val="24"/>
          <w:szCs w:val="24"/>
        </w:rPr>
        <w:t>Trigger high-priority alarms right away if a host is rapidly trying to reach many internal systems through administrative ports like SSH, SMB or Remote Desktop. There should be no automatic quarantine unless repeated scanning is confirmed or other evidence shows compromise. Before the device is isolated, a human evaluation should be done to see if the activity was part of an authorized administrative task.  </w:t>
      </w:r>
    </w:p>
    <w:p w14:paraId="7B72A8DD" w14:textId="6081A780"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Responsible Decision Owner</w:t>
      </w:r>
    </w:p>
    <w:p w14:paraId="78C52A28"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Network Operations Manager</w:t>
      </w:r>
    </w:p>
    <w:p w14:paraId="3EEF34BF"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Rollback Plan</w:t>
      </w:r>
    </w:p>
    <w:p w14:paraId="79C752BC" w14:textId="6A8161F7" w:rsidR="00DF442C"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00DF442C" w:rsidRPr="00DA7DF5">
        <w:rPr>
          <w:rFonts w:ascii="Times New Roman" w:hAnsi="Times New Roman" w:cs="Times New Roman"/>
          <w:sz w:val="24"/>
          <w:szCs w:val="24"/>
        </w:rPr>
        <w:t>If the activity is determined to be an authorized vulnerability assessment or maintenance task, reconnect the isolated host, restore normal network access and document the approved activity for future reference.</w:t>
      </w:r>
    </w:p>
    <w:p w14:paraId="04F4A8E0"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Finding 3 – Data Exfiltration</w:t>
      </w:r>
    </w:p>
    <w:p w14:paraId="38FF412A"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Host:</w:t>
      </w:r>
      <w:r w:rsidRPr="00DA7DF5">
        <w:rPr>
          <w:rFonts w:ascii="Times New Roman" w:hAnsi="Times New Roman" w:cs="Times New Roman"/>
          <w:sz w:val="24"/>
          <w:szCs w:val="24"/>
        </w:rPr>
        <w:t xml:space="preserve"> 10.20.4.45</w:t>
      </w:r>
    </w:p>
    <w:p w14:paraId="3373AD0B"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Recommendation</w:t>
      </w:r>
    </w:p>
    <w:p w14:paraId="61351C1D" w14:textId="4D8467D1" w:rsidR="00DA7DF5"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lastRenderedPageBreak/>
        <w:tab/>
      </w:r>
      <w:r w:rsidRPr="00DA7DF5">
        <w:rPr>
          <w:rFonts w:ascii="Times New Roman" w:hAnsi="Times New Roman" w:cs="Times New Roman"/>
          <w:sz w:val="24"/>
          <w:szCs w:val="24"/>
        </w:rPr>
        <w:t xml:space="preserve">This represents the highest-risk finding. The detector should immediately notify security personnel and preserve all related logs. Automatic blocking should remain behind human approval because this host may support important services such as the reverse-proxied web application or Sunday online donation processing. Blocking the server without verification could interrupt church operations and create unnecessary business impact. </w:t>
      </w:r>
    </w:p>
    <w:p w14:paraId="74612C39" w14:textId="1EC4065F"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Responsible Decision Owner</w:t>
      </w:r>
    </w:p>
    <w:p w14:paraId="4EEA851C"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IT Director</w:t>
      </w:r>
    </w:p>
    <w:p w14:paraId="16016D7F"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b/>
          <w:bCs/>
          <w:sz w:val="24"/>
          <w:szCs w:val="24"/>
        </w:rPr>
        <w:t>Rollback Plan</w:t>
      </w:r>
    </w:p>
    <w:p w14:paraId="4FD2714F" w14:textId="6C140BDA" w:rsidR="00DF442C"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00DF442C" w:rsidRPr="00DA7DF5">
        <w:rPr>
          <w:rFonts w:ascii="Times New Roman" w:hAnsi="Times New Roman" w:cs="Times New Roman"/>
          <w:sz w:val="24"/>
          <w:szCs w:val="24"/>
        </w:rPr>
        <w:t xml:space="preserve">If investigation confirms that the transfer was legitimate, restore network communication, document the approved destination, update the </w:t>
      </w:r>
      <w:r w:rsidRPr="00DA7DF5">
        <w:rPr>
          <w:rFonts w:ascii="Times New Roman" w:hAnsi="Times New Roman" w:cs="Times New Roman"/>
          <w:sz w:val="24"/>
          <w:szCs w:val="24"/>
        </w:rPr>
        <w:t>behavioural</w:t>
      </w:r>
      <w:r w:rsidR="00DF442C" w:rsidRPr="00DA7DF5">
        <w:rPr>
          <w:rFonts w:ascii="Times New Roman" w:hAnsi="Times New Roman" w:cs="Times New Roman"/>
          <w:sz w:val="24"/>
          <w:szCs w:val="24"/>
        </w:rPr>
        <w:t xml:space="preserve"> baseline and close the incident with supporting evidence.</w:t>
      </w:r>
    </w:p>
    <w:p w14:paraId="77EC5144"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Automation Recommendation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92"/>
        <w:gridCol w:w="1740"/>
        <w:gridCol w:w="1787"/>
        <w:gridCol w:w="2901"/>
      </w:tblGrid>
      <w:tr w:rsidR="00DF442C" w:rsidRPr="00DA7DF5" w14:paraId="119356C8" w14:textId="77777777" w:rsidTr="00DA7DF5">
        <w:trPr>
          <w:tblHeader/>
          <w:tblCellSpacing w:w="15" w:type="dxa"/>
          <w:jc w:val="center"/>
        </w:trPr>
        <w:tc>
          <w:tcPr>
            <w:tcW w:w="0" w:type="auto"/>
            <w:tcBorders>
              <w:top w:val="single" w:sz="4" w:space="0" w:color="auto"/>
              <w:left w:val="single" w:sz="4" w:space="0" w:color="auto"/>
            </w:tcBorders>
            <w:vAlign w:val="center"/>
            <w:hideMark/>
          </w:tcPr>
          <w:p w14:paraId="3FF68854"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Detection</w:t>
            </w:r>
          </w:p>
        </w:tc>
        <w:tc>
          <w:tcPr>
            <w:tcW w:w="0" w:type="auto"/>
            <w:tcBorders>
              <w:top w:val="single" w:sz="4" w:space="0" w:color="auto"/>
              <w:left w:val="single" w:sz="4" w:space="0" w:color="auto"/>
              <w:right w:val="single" w:sz="4" w:space="0" w:color="auto"/>
            </w:tcBorders>
            <w:vAlign w:val="center"/>
            <w:hideMark/>
          </w:tcPr>
          <w:p w14:paraId="6FD8C445"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Automatic Alert</w:t>
            </w:r>
          </w:p>
        </w:tc>
        <w:tc>
          <w:tcPr>
            <w:tcW w:w="0" w:type="auto"/>
            <w:tcBorders>
              <w:top w:val="single" w:sz="4" w:space="0" w:color="auto"/>
            </w:tcBorders>
            <w:vAlign w:val="center"/>
            <w:hideMark/>
          </w:tcPr>
          <w:p w14:paraId="69EE8F63"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Automatic Block</w:t>
            </w:r>
          </w:p>
        </w:tc>
        <w:tc>
          <w:tcPr>
            <w:tcW w:w="0" w:type="auto"/>
            <w:tcBorders>
              <w:top w:val="single" w:sz="4" w:space="0" w:color="auto"/>
              <w:left w:val="single" w:sz="4" w:space="0" w:color="auto"/>
              <w:right w:val="single" w:sz="4" w:space="0" w:color="auto"/>
            </w:tcBorders>
            <w:vAlign w:val="center"/>
            <w:hideMark/>
          </w:tcPr>
          <w:p w14:paraId="7FFFC0C6"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Human Approval Required</w:t>
            </w:r>
          </w:p>
        </w:tc>
      </w:tr>
      <w:tr w:rsidR="00DF442C" w:rsidRPr="00DA7DF5" w14:paraId="7AC53AE1" w14:textId="77777777" w:rsidTr="00DA7DF5">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5C74EB08"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Beaconing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0C696A7A"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Yes</w:t>
            </w:r>
          </w:p>
        </w:tc>
        <w:tc>
          <w:tcPr>
            <w:tcW w:w="0" w:type="auto"/>
            <w:tcBorders>
              <w:top w:val="single" w:sz="4" w:space="0" w:color="auto"/>
              <w:bottom w:val="single" w:sz="4" w:space="0" w:color="auto"/>
            </w:tcBorders>
            <w:vAlign w:val="center"/>
            <w:hideMark/>
          </w:tcPr>
          <w:p w14:paraId="43267242"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4FA20B3"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Yes</w:t>
            </w:r>
          </w:p>
        </w:tc>
      </w:tr>
      <w:tr w:rsidR="00DF442C" w:rsidRPr="00DA7DF5" w14:paraId="1C5B7748" w14:textId="77777777" w:rsidTr="00DA7DF5">
        <w:trPr>
          <w:tblCellSpacing w:w="15" w:type="dxa"/>
          <w:jc w:val="center"/>
        </w:trPr>
        <w:tc>
          <w:tcPr>
            <w:tcW w:w="0" w:type="auto"/>
            <w:tcBorders>
              <w:left w:val="single" w:sz="4" w:space="0" w:color="auto"/>
              <w:bottom w:val="single" w:sz="4" w:space="0" w:color="auto"/>
            </w:tcBorders>
            <w:vAlign w:val="center"/>
            <w:hideMark/>
          </w:tcPr>
          <w:p w14:paraId="7B70D15B"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Port Scan</w:t>
            </w:r>
          </w:p>
        </w:tc>
        <w:tc>
          <w:tcPr>
            <w:tcW w:w="0" w:type="auto"/>
            <w:tcBorders>
              <w:left w:val="single" w:sz="4" w:space="0" w:color="auto"/>
              <w:bottom w:val="single" w:sz="4" w:space="0" w:color="auto"/>
              <w:right w:val="single" w:sz="4" w:space="0" w:color="auto"/>
            </w:tcBorders>
            <w:vAlign w:val="center"/>
            <w:hideMark/>
          </w:tcPr>
          <w:p w14:paraId="321C8792"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Yes</w:t>
            </w:r>
          </w:p>
        </w:tc>
        <w:tc>
          <w:tcPr>
            <w:tcW w:w="0" w:type="auto"/>
            <w:tcBorders>
              <w:bottom w:val="single" w:sz="4" w:space="0" w:color="auto"/>
            </w:tcBorders>
            <w:vAlign w:val="center"/>
            <w:hideMark/>
          </w:tcPr>
          <w:p w14:paraId="0B89BB18"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Conditional</w:t>
            </w:r>
          </w:p>
        </w:tc>
        <w:tc>
          <w:tcPr>
            <w:tcW w:w="0" w:type="auto"/>
            <w:tcBorders>
              <w:left w:val="single" w:sz="4" w:space="0" w:color="auto"/>
              <w:bottom w:val="single" w:sz="4" w:space="0" w:color="auto"/>
              <w:right w:val="single" w:sz="4" w:space="0" w:color="auto"/>
            </w:tcBorders>
            <w:vAlign w:val="center"/>
            <w:hideMark/>
          </w:tcPr>
          <w:p w14:paraId="3DDB2D09"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Yes</w:t>
            </w:r>
          </w:p>
        </w:tc>
      </w:tr>
      <w:tr w:rsidR="00DF442C" w:rsidRPr="00DA7DF5" w14:paraId="7F42FCD3" w14:textId="77777777" w:rsidTr="00DA7DF5">
        <w:trPr>
          <w:tblCellSpacing w:w="15" w:type="dxa"/>
          <w:jc w:val="center"/>
        </w:trPr>
        <w:tc>
          <w:tcPr>
            <w:tcW w:w="0" w:type="auto"/>
            <w:tcBorders>
              <w:left w:val="single" w:sz="4" w:space="0" w:color="auto"/>
              <w:bottom w:val="single" w:sz="4" w:space="0" w:color="auto"/>
            </w:tcBorders>
            <w:vAlign w:val="center"/>
            <w:hideMark/>
          </w:tcPr>
          <w:p w14:paraId="7BFBC3CB"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Exfiltration</w:t>
            </w:r>
          </w:p>
        </w:tc>
        <w:tc>
          <w:tcPr>
            <w:tcW w:w="0" w:type="auto"/>
            <w:tcBorders>
              <w:left w:val="single" w:sz="4" w:space="0" w:color="auto"/>
              <w:bottom w:val="single" w:sz="4" w:space="0" w:color="auto"/>
              <w:right w:val="single" w:sz="4" w:space="0" w:color="auto"/>
            </w:tcBorders>
            <w:vAlign w:val="center"/>
            <w:hideMark/>
          </w:tcPr>
          <w:p w14:paraId="04933D42"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Yes</w:t>
            </w:r>
          </w:p>
        </w:tc>
        <w:tc>
          <w:tcPr>
            <w:tcW w:w="0" w:type="auto"/>
            <w:tcBorders>
              <w:bottom w:val="single" w:sz="4" w:space="0" w:color="auto"/>
            </w:tcBorders>
            <w:vAlign w:val="center"/>
            <w:hideMark/>
          </w:tcPr>
          <w:p w14:paraId="1FA1BFDB"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No</w:t>
            </w:r>
          </w:p>
        </w:tc>
        <w:tc>
          <w:tcPr>
            <w:tcW w:w="0" w:type="auto"/>
            <w:tcBorders>
              <w:left w:val="single" w:sz="4" w:space="0" w:color="auto"/>
              <w:bottom w:val="single" w:sz="4" w:space="0" w:color="auto"/>
              <w:right w:val="single" w:sz="4" w:space="0" w:color="auto"/>
            </w:tcBorders>
            <w:vAlign w:val="center"/>
            <w:hideMark/>
          </w:tcPr>
          <w:p w14:paraId="1B49F4DA" w14:textId="77777777" w:rsidR="00DF442C" w:rsidRPr="00DA7DF5" w:rsidRDefault="00DF442C"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Yes</w:t>
            </w:r>
          </w:p>
        </w:tc>
      </w:tr>
    </w:tbl>
    <w:p w14:paraId="47EA1C3E" w14:textId="58178D2D" w:rsidR="00DF442C"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00DF442C" w:rsidRPr="00DA7DF5">
        <w:rPr>
          <w:rFonts w:ascii="Times New Roman" w:hAnsi="Times New Roman" w:cs="Times New Roman"/>
          <w:sz w:val="24"/>
          <w:szCs w:val="24"/>
        </w:rPr>
        <w:t>This approach provides rapid detection while ensuring that decisions with significant operational impact remain under human supervision.</w:t>
      </w:r>
    </w:p>
    <w:p w14:paraId="6F163924"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Blast Radius Analysis</w:t>
      </w:r>
    </w:p>
    <w:p w14:paraId="676F13F7" w14:textId="38F57902" w:rsidR="00DA7DF5"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Pr="00DA7DF5">
        <w:rPr>
          <w:rFonts w:ascii="Times New Roman" w:hAnsi="Times New Roman" w:cs="Times New Roman"/>
          <w:sz w:val="24"/>
          <w:szCs w:val="24"/>
        </w:rPr>
        <w:t xml:space="preserve">The largest operational risk involves the potential interruption of the church's Sunday services and online donation platform. An incorrect automated response that blocks the </w:t>
      </w:r>
      <w:r w:rsidRPr="00DA7DF5">
        <w:rPr>
          <w:rFonts w:ascii="Times New Roman" w:hAnsi="Times New Roman" w:cs="Times New Roman"/>
          <w:sz w:val="24"/>
          <w:szCs w:val="24"/>
        </w:rPr>
        <w:lastRenderedPageBreak/>
        <w:t>reverse proxy or inference services could prevent online giving, disrupt school operations, interrupt AI-assisted applications and reduce trust in the organization's IT services.</w:t>
      </w:r>
    </w:p>
    <w:p w14:paraId="2B5DD97A" w14:textId="3C301E57" w:rsidR="00DA7DF5"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Pr="00DA7DF5">
        <w:rPr>
          <w:rFonts w:ascii="Times New Roman" w:hAnsi="Times New Roman" w:cs="Times New Roman"/>
          <w:sz w:val="24"/>
          <w:szCs w:val="24"/>
        </w:rPr>
        <w:t xml:space="preserve">False positives involving beaconing or administrative scans generally have lower business impact because investigation can occur before any containment action is taken. In contrast, automatically blocking a production server during a false alarm could affect hundreds of users simultaneously. For this reason, containment decisions should always be reviewed by a responsible individual before execution. </w:t>
      </w:r>
    </w:p>
    <w:p w14:paraId="705AD3CF"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The Watchman and the Gate</w:t>
      </w:r>
    </w:p>
    <w:p w14:paraId="67F1ADE6" w14:textId="64B1BFC4" w:rsidR="00DA7DF5"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Pr="00DA7DF5">
        <w:rPr>
          <w:rFonts w:ascii="Times New Roman" w:hAnsi="Times New Roman" w:cs="Times New Roman"/>
          <w:sz w:val="24"/>
          <w:szCs w:val="24"/>
        </w:rPr>
        <w:t xml:space="preserve">Section 5.8 emphasizes that technology can perform the task of watching, but responsibility for protecting the organization remains with a human decision-maker. Automated tools continuously monitor network activity, identify suspicious </w:t>
      </w:r>
      <w:r w:rsidRPr="00DA7DF5">
        <w:rPr>
          <w:rFonts w:ascii="Times New Roman" w:hAnsi="Times New Roman" w:cs="Times New Roman"/>
          <w:sz w:val="24"/>
          <w:szCs w:val="24"/>
        </w:rPr>
        <w:t>behaviour</w:t>
      </w:r>
      <w:r w:rsidRPr="00DA7DF5">
        <w:rPr>
          <w:rFonts w:ascii="Times New Roman" w:hAnsi="Times New Roman" w:cs="Times New Roman"/>
          <w:sz w:val="24"/>
          <w:szCs w:val="24"/>
        </w:rPr>
        <w:t>, and present evidence quickly. However, they cannot fully understand organizational priorities, scheduled maintenance activities or the operational consequences of shutting down critical services.</w:t>
      </w:r>
    </w:p>
    <w:p w14:paraId="01B34C20" w14:textId="19290A1D" w:rsidR="00DF442C"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Pr="00DA7DF5">
        <w:rPr>
          <w:rFonts w:ascii="Times New Roman" w:hAnsi="Times New Roman" w:cs="Times New Roman"/>
          <w:sz w:val="24"/>
          <w:szCs w:val="24"/>
        </w:rPr>
        <w:t xml:space="preserve">By spotting unusual traffic patterns, the detector serves as the project's watchman. As the responsible gatekeeper, the IT Director is in charge of determining whether to isolate systems, prevent communication, or start incident response. </w:t>
      </w:r>
      <w:r w:rsidRPr="00DA7DF5">
        <w:rPr>
          <w:rFonts w:ascii="Times New Roman" w:hAnsi="Times New Roman" w:cs="Times New Roman"/>
          <w:sz w:val="24"/>
          <w:szCs w:val="24"/>
        </w:rPr>
        <w:t>These balancing preserves</w:t>
      </w:r>
      <w:r w:rsidRPr="00DA7DF5">
        <w:rPr>
          <w:rFonts w:ascii="Times New Roman" w:hAnsi="Times New Roman" w:cs="Times New Roman"/>
          <w:sz w:val="24"/>
          <w:szCs w:val="24"/>
        </w:rPr>
        <w:t xml:space="preserve"> human judgment for acts that could have a major impact on the company while enabling automation to increase detection speed. </w:t>
      </w:r>
    </w:p>
    <w:p w14:paraId="567C0D76" w14:textId="77777777" w:rsidR="00DF442C" w:rsidRPr="00DA7DF5" w:rsidRDefault="00DF442C" w:rsidP="00DA7DF5">
      <w:pPr>
        <w:spacing w:line="480" w:lineRule="auto"/>
        <w:rPr>
          <w:rFonts w:ascii="Times New Roman" w:hAnsi="Times New Roman" w:cs="Times New Roman"/>
          <w:b/>
          <w:bCs/>
          <w:sz w:val="24"/>
          <w:szCs w:val="24"/>
        </w:rPr>
      </w:pPr>
      <w:r w:rsidRPr="00DA7DF5">
        <w:rPr>
          <w:rFonts w:ascii="Times New Roman" w:hAnsi="Times New Roman" w:cs="Times New Roman"/>
          <w:b/>
          <w:bCs/>
          <w:sz w:val="24"/>
          <w:szCs w:val="24"/>
        </w:rPr>
        <w:t>Final Recommendation</w:t>
      </w:r>
    </w:p>
    <w:p w14:paraId="701D5DA7" w14:textId="3177FE55" w:rsidR="00DF442C" w:rsidRPr="00DA7DF5" w:rsidRDefault="00DA7DF5" w:rsidP="00DA7DF5">
      <w:pPr>
        <w:spacing w:line="480" w:lineRule="auto"/>
        <w:rPr>
          <w:rFonts w:ascii="Times New Roman" w:hAnsi="Times New Roman" w:cs="Times New Roman"/>
          <w:sz w:val="24"/>
          <w:szCs w:val="24"/>
        </w:rPr>
      </w:pPr>
      <w:r w:rsidRPr="00DA7DF5">
        <w:rPr>
          <w:rFonts w:ascii="Times New Roman" w:hAnsi="Times New Roman" w:cs="Times New Roman"/>
          <w:sz w:val="24"/>
          <w:szCs w:val="24"/>
        </w:rPr>
        <w:tab/>
      </w:r>
      <w:r w:rsidRPr="00DA7DF5">
        <w:rPr>
          <w:rFonts w:ascii="Times New Roman" w:hAnsi="Times New Roman" w:cs="Times New Roman"/>
          <w:sz w:val="24"/>
          <w:szCs w:val="24"/>
        </w:rPr>
        <w:t xml:space="preserve">For each of the three anomaly kinds, I advise putting in place automated monitoring, evidence gathering, and alarm generating. For systems that support vital church or school functions, automated containment should be </w:t>
      </w:r>
      <w:r w:rsidRPr="00DA7DF5">
        <w:rPr>
          <w:rFonts w:ascii="Times New Roman" w:hAnsi="Times New Roman" w:cs="Times New Roman"/>
          <w:sz w:val="24"/>
          <w:szCs w:val="24"/>
        </w:rPr>
        <w:t>used with caution,</w:t>
      </w:r>
      <w:r w:rsidRPr="00DA7DF5">
        <w:rPr>
          <w:rFonts w:ascii="Times New Roman" w:hAnsi="Times New Roman" w:cs="Times New Roman"/>
          <w:sz w:val="24"/>
          <w:szCs w:val="24"/>
        </w:rPr>
        <w:t xml:space="preserve"> only after human assessment. </w:t>
      </w:r>
      <w:r w:rsidRPr="00DA7DF5">
        <w:rPr>
          <w:rFonts w:ascii="Times New Roman" w:hAnsi="Times New Roman" w:cs="Times New Roman"/>
          <w:sz w:val="24"/>
          <w:szCs w:val="24"/>
        </w:rPr>
        <w:lastRenderedPageBreak/>
        <w:t xml:space="preserve">This strategy maintains accountability for each security choice while </w:t>
      </w:r>
      <w:r w:rsidRPr="00DA7DF5">
        <w:rPr>
          <w:rFonts w:ascii="Times New Roman" w:hAnsi="Times New Roman" w:cs="Times New Roman"/>
          <w:sz w:val="24"/>
          <w:szCs w:val="24"/>
        </w:rPr>
        <w:t>reducing the likelihood of both successful attacks and unnecessary</w:t>
      </w:r>
      <w:r w:rsidRPr="00DA7DF5">
        <w:rPr>
          <w:rFonts w:ascii="Times New Roman" w:hAnsi="Times New Roman" w:cs="Times New Roman"/>
          <w:sz w:val="24"/>
          <w:szCs w:val="24"/>
        </w:rPr>
        <w:t xml:space="preserve"> service interruptions.</w:t>
      </w:r>
    </w:p>
    <w:p w14:paraId="28C0064F" w14:textId="77777777" w:rsidR="00581B15" w:rsidRPr="00DA7DF5" w:rsidRDefault="00581B15" w:rsidP="00DA7DF5">
      <w:pPr>
        <w:spacing w:line="480" w:lineRule="auto"/>
        <w:rPr>
          <w:rFonts w:ascii="Times New Roman" w:hAnsi="Times New Roman" w:cs="Times New Roman"/>
          <w:sz w:val="24"/>
          <w:szCs w:val="24"/>
        </w:rPr>
      </w:pPr>
    </w:p>
    <w:p w14:paraId="18B6C112" w14:textId="77777777" w:rsidR="00DF442C" w:rsidRPr="00DA7DF5" w:rsidRDefault="00DF442C" w:rsidP="00DA7DF5">
      <w:pPr>
        <w:spacing w:line="480" w:lineRule="auto"/>
        <w:rPr>
          <w:rFonts w:ascii="Times New Roman" w:hAnsi="Times New Roman" w:cs="Times New Roman"/>
          <w:sz w:val="24"/>
          <w:szCs w:val="24"/>
        </w:rPr>
      </w:pPr>
    </w:p>
    <w:sectPr w:rsidR="00DF442C" w:rsidRPr="00DA7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7F5"/>
    <w:multiLevelType w:val="multilevel"/>
    <w:tmpl w:val="472A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6179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A66"/>
    <w:rsid w:val="002E6A66"/>
    <w:rsid w:val="00363F05"/>
    <w:rsid w:val="003C718F"/>
    <w:rsid w:val="00581B15"/>
    <w:rsid w:val="00DA7DF5"/>
    <w:rsid w:val="00DF4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010DA"/>
  <w15:chartTrackingRefBased/>
  <w15:docId w15:val="{4AEE7030-2733-425B-9771-433428A69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A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A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A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A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A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A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A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A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A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A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A66"/>
    <w:rPr>
      <w:rFonts w:eastAsiaTheme="majorEastAsia" w:cstheme="majorBidi"/>
      <w:color w:val="272727" w:themeColor="text1" w:themeTint="D8"/>
    </w:rPr>
  </w:style>
  <w:style w:type="paragraph" w:styleId="Title">
    <w:name w:val="Title"/>
    <w:basedOn w:val="Normal"/>
    <w:next w:val="Normal"/>
    <w:link w:val="TitleChar"/>
    <w:uiPriority w:val="10"/>
    <w:qFormat/>
    <w:rsid w:val="002E6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A66"/>
    <w:pPr>
      <w:spacing w:before="160"/>
      <w:jc w:val="center"/>
    </w:pPr>
    <w:rPr>
      <w:i/>
      <w:iCs/>
      <w:color w:val="404040" w:themeColor="text1" w:themeTint="BF"/>
    </w:rPr>
  </w:style>
  <w:style w:type="character" w:customStyle="1" w:styleId="QuoteChar">
    <w:name w:val="Quote Char"/>
    <w:basedOn w:val="DefaultParagraphFont"/>
    <w:link w:val="Quote"/>
    <w:uiPriority w:val="29"/>
    <w:rsid w:val="002E6A66"/>
    <w:rPr>
      <w:i/>
      <w:iCs/>
      <w:color w:val="404040" w:themeColor="text1" w:themeTint="BF"/>
    </w:rPr>
  </w:style>
  <w:style w:type="paragraph" w:styleId="ListParagraph">
    <w:name w:val="List Paragraph"/>
    <w:basedOn w:val="Normal"/>
    <w:uiPriority w:val="34"/>
    <w:qFormat/>
    <w:rsid w:val="002E6A66"/>
    <w:pPr>
      <w:ind w:left="720"/>
      <w:contextualSpacing/>
    </w:pPr>
  </w:style>
  <w:style w:type="character" w:styleId="IntenseEmphasis">
    <w:name w:val="Intense Emphasis"/>
    <w:basedOn w:val="DefaultParagraphFont"/>
    <w:uiPriority w:val="21"/>
    <w:qFormat/>
    <w:rsid w:val="002E6A66"/>
    <w:rPr>
      <w:i/>
      <w:iCs/>
      <w:color w:val="2F5496" w:themeColor="accent1" w:themeShade="BF"/>
    </w:rPr>
  </w:style>
  <w:style w:type="paragraph" w:styleId="IntenseQuote">
    <w:name w:val="Intense Quote"/>
    <w:basedOn w:val="Normal"/>
    <w:next w:val="Normal"/>
    <w:link w:val="IntenseQuoteChar"/>
    <w:uiPriority w:val="30"/>
    <w:qFormat/>
    <w:rsid w:val="002E6A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A66"/>
    <w:rPr>
      <w:i/>
      <w:iCs/>
      <w:color w:val="2F5496" w:themeColor="accent1" w:themeShade="BF"/>
    </w:rPr>
  </w:style>
  <w:style w:type="character" w:styleId="IntenseReference">
    <w:name w:val="Intense Reference"/>
    <w:basedOn w:val="DefaultParagraphFont"/>
    <w:uiPriority w:val="32"/>
    <w:qFormat/>
    <w:rsid w:val="002E6A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dc:creator>
  <cp:keywords/>
  <dc:description/>
  <cp:lastModifiedBy>MOHAMMAD VALLI PASHA</cp:lastModifiedBy>
  <cp:revision>3</cp:revision>
  <dcterms:created xsi:type="dcterms:W3CDTF">2026-07-08T15:43:00Z</dcterms:created>
  <dcterms:modified xsi:type="dcterms:W3CDTF">2026-07-08T15:57:00Z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c26c47ec-0860-4289-b212-8be459dc01f8</vt:lpwstr>
  </property>
</Properties>
</file>