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r w:rsidR="005C03AE" w:rsidRPr="00322F5F">
        <w:rPr>
          <w:rFonts w:ascii="Arial" w:hAnsi="Arial" w:cs="Arial"/>
        </w:rPr>
        <w:t>LightGBM</w:t>
      </w:r>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r w:rsidR="005C03AE" w:rsidRPr="00322F5F">
        <w:rPr>
          <w:rFonts w:ascii="Arial" w:hAnsi="Arial" w:cs="Arial"/>
        </w:rPr>
        <w:t>XGBoost</w:t>
      </w:r>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r w:rsidR="004E7AA4">
        <w:rPr>
          <w:rFonts w:ascii="Arial" w:hAnsi="Arial" w:cs="Arial"/>
        </w:rPr>
        <w:t>L</w:t>
      </w:r>
      <w:r w:rsidR="009A26EE" w:rsidRPr="003D4748">
        <w:rPr>
          <w:rFonts w:ascii="Arial" w:hAnsi="Arial" w:cs="Arial"/>
        </w:rPr>
        <w:t>ightGBM)</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 xml:space="preserve">and SHAP (SHapley Additive exPlanations)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r w:rsidR="009A26EE" w:rsidRPr="003D4748">
        <w:rPr>
          <w:rFonts w:ascii="Arial" w:hAnsi="Arial" w:cs="Arial"/>
        </w:rPr>
        <w:t xml:space="preserve">LightGBM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Lagrazon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"Year_of_Admission"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labeled "Current Student" and only 103 for "New Admission 2019-20," this imbalance could introduce bias into the model. Therefore, 103 rows corresponding to "New Admission 2019-20" were removed using dimensionality reduction techniques, and the "Year_of_Admission"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r w:rsidRPr="003D4748">
        <w:rPr>
          <w:rFonts w:ascii="Arial" w:hAnsi="Arial" w:cs="Arial"/>
          <w:b/>
          <w:bCs/>
        </w:rPr>
        <w:lastRenderedPageBreak/>
        <w:t>LightGBM</w:t>
      </w:r>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r w:rsidRPr="003D4748">
        <w:rPr>
          <w:rFonts w:ascii="Arial" w:hAnsi="Arial" w:cs="Arial"/>
          <w:b/>
          <w:bCs/>
        </w:rPr>
        <w:t>XGBoost</w:t>
      </w:r>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(Logistic Regression, ANN, SVM, LightGBM): An ensemble model combining predictions from Logistic Regression, Artificial Neural Networks (ANN), SVM, and LightGBM.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particularly LightGBM and XGBoost. The updated XAI framework includes LIME (Local Interpretable Model-agnostic Explanations), SHAP (SHapley Additive exPlanations),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r w:rsidRPr="008A0A73">
        <w:rPr>
          <w:rFonts w:ascii="Arial" w:hAnsi="Arial" w:cs="Arial"/>
        </w:rPr>
        <w:t>LightGBM, XGBoost,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(SHapley Additive exPlanations)</w:t>
      </w:r>
    </w:p>
    <w:p w14:paraId="5C779EF5" w14:textId="50661FD7" w:rsidR="008A0A73" w:rsidRPr="008A0A73" w:rsidRDefault="008A0A73" w:rsidP="008A0A73">
      <w:pPr>
        <w:jc w:val="both"/>
        <w:rPr>
          <w:rFonts w:ascii="Arial" w:hAnsi="Arial" w:cs="Arial"/>
        </w:rPr>
      </w:pPr>
      <w:r w:rsidRPr="008A0A73">
        <w:rPr>
          <w:rFonts w:ascii="Arial" w:hAnsi="Arial" w:cs="Arial"/>
        </w:rPr>
        <w:t xml:space="preserve">SHAP was used to measure global and local feature importance. SHAP summary plots demonstrated that Math193_, Science201_, and English193_ contributed most to prediction </w:t>
      </w:r>
      <w:r w:rsidRPr="008A0A73">
        <w:rPr>
          <w:rFonts w:ascii="Arial" w:hAnsi="Arial" w:cs="Arial"/>
        </w:rPr>
        <w:lastRenderedPageBreak/>
        <w:t>outcomes. LightGBM and XGBoost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To understand marginal effects, PDPs were generated for the top 3 features in both LightGBM and XGBoost.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ALE plots provided an unbiased, model-agnostic alternative to PDPs. ALE for LightGBM and XGBoost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To gain insight into black-box predictions, surrogate decision trees were trained to approximate LightGBM and XGBoost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lastRenderedPageBreak/>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"Year_Of_Admission"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lastRenderedPageBreak/>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LightGBM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XGBoost, while showing strong performance with an accuracy of 0.893, a precision of 0.906, and an F1 Score of 0.883, had a slightly lower recall (0.861) than both LightGBM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The Voting Classifier had the highest ROC AUC of 0.985, indicating it had the best ability to correctly classify both positive and negative cases across all thresholds. Both LightGBM and XGBoost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r w:rsidRPr="00D505AB">
        <w:rPr>
          <w:rFonts w:ascii="Arial" w:hAnsi="Arial" w:cs="Arial"/>
        </w:rPr>
        <w:t>LightGBM</w:t>
      </w:r>
      <w:bookmarkEnd w:id="28"/>
    </w:p>
    <w:p w14:paraId="44713E01" w14:textId="498CC36D" w:rsidR="00D505AB" w:rsidRPr="00D505AB" w:rsidRDefault="00D505AB" w:rsidP="00D505AB">
      <w:pPr>
        <w:jc w:val="both"/>
        <w:rPr>
          <w:rFonts w:ascii="Arial" w:hAnsi="Arial" w:cs="Arial"/>
        </w:rPr>
      </w:pPr>
      <w:r w:rsidRPr="00D505AB">
        <w:rPr>
          <w:rFonts w:ascii="Arial" w:hAnsi="Arial" w:cs="Arial"/>
        </w:rPr>
        <w:t>The LightGBM model had 6 false positives, which means 6 instances were incorrectly classified as positive when they were actually negative. It also had 15 false negatives, where the model missed 15 positive cases, classifying them as negative. However, LightGBM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Confusion Matrix for XGBoost</w:t>
      </w:r>
    </w:p>
    <w:p w14:paraId="790B12EB" w14:textId="2E34D6C8" w:rsidR="00D505AB" w:rsidRDefault="00D505AB" w:rsidP="00D505AB">
      <w:pPr>
        <w:jc w:val="both"/>
        <w:rPr>
          <w:rFonts w:ascii="Arial" w:hAnsi="Arial" w:cs="Arial"/>
        </w:rPr>
      </w:pPr>
      <w:r w:rsidRPr="00D505AB">
        <w:rPr>
          <w:rFonts w:ascii="Arial" w:hAnsi="Arial" w:cs="Arial"/>
        </w:rPr>
        <w:t>For the XGBoost model, there were 6 false positives, the same as LightGBM, but the number of false negatives increased to 19, indicating that this model missed more positive instances compared to LightGBM. The true positive count was 112, and the true negatives were 142, which is like LightGBM. While the model performed fairly well overall, the increased false negatives suggest that XGBoost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r w:rsidRPr="00A30AD9">
        <w:rPr>
          <w:rFonts w:ascii="Arial" w:hAnsi="Arial" w:cs="Arial"/>
          <w:b/>
          <w:bCs/>
        </w:rPr>
        <w:t>LightGBM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r>
        <w:rPr>
          <w:rFonts w:ascii="Arial" w:hAnsi="Arial" w:cs="Arial"/>
        </w:rPr>
        <w:t xml:space="preserve">LightGBM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The LightGBM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Mathexam &lt;= 65.00.</w:t>
      </w:r>
    </w:p>
    <w:p w14:paraId="400FCDE1" w14:textId="77777777" w:rsidR="00A30AD9" w:rsidRDefault="00A30AD9" w:rsidP="005B54EA">
      <w:pPr>
        <w:jc w:val="both"/>
        <w:rPr>
          <w:rFonts w:ascii="Arial" w:hAnsi="Arial" w:cs="Arial"/>
        </w:rPr>
      </w:pPr>
      <w:r w:rsidRPr="00A30AD9">
        <w:rPr>
          <w:rFonts w:ascii="Arial" w:hAnsi="Arial" w:cs="Arial"/>
        </w:rPr>
        <w:t>Negative influences come from high scores like Englishexam_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Negative impacts are seen with high Englishexam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r w:rsidRPr="00A30AD9">
        <w:rPr>
          <w:rFonts w:ascii="Arial" w:hAnsi="Arial" w:cs="Arial"/>
          <w:b/>
          <w:bCs/>
        </w:rPr>
        <w:t>XGBoost</w:t>
      </w:r>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which helps to gain a deeper understanding of the XGBoost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LIME explanation for XGBoost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XGBoost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Mathexam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However, higher scores in Englishexam_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SHapley Additive exPlanations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(SHapley Additive exPlanations) helps to understand how much each feature contributes to a model’s predictions. A higher SHAP value means the feature has more influence. Below is a breakdown of the SHAP importance values for the LightGBM and XGBoost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LightGBM Model</w:t>
      </w:r>
    </w:p>
    <w:p w14:paraId="404014E0" w14:textId="77777777" w:rsidR="0019559E" w:rsidRPr="0019559E" w:rsidRDefault="0019559E" w:rsidP="0019559E">
      <w:pPr>
        <w:jc w:val="both"/>
        <w:rPr>
          <w:rFonts w:ascii="Arial" w:hAnsi="Arial" w:cs="Arial"/>
        </w:rPr>
      </w:pPr>
      <w:r w:rsidRPr="0019559E">
        <w:rPr>
          <w:rFonts w:ascii="Arial" w:hAnsi="Arial" w:cs="Arial"/>
        </w:rPr>
        <w:t>In the LightGBM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r w:rsidRPr="0019559E">
        <w:rPr>
          <w:rFonts w:ascii="Arial" w:hAnsi="Arial" w:cs="Arial"/>
        </w:rPr>
        <w:t>Englishexam_: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Lesser influences include Gender and Age_as_of_Academic_Year_1718, while Current_School, Current_Curriculum, and Previous_yearGrade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XGBoost Model</w:t>
      </w:r>
    </w:p>
    <w:p w14:paraId="5CB00360" w14:textId="77777777" w:rsidR="0019559E" w:rsidRPr="0019559E" w:rsidRDefault="0019559E" w:rsidP="0019559E">
      <w:pPr>
        <w:jc w:val="both"/>
        <w:rPr>
          <w:rFonts w:ascii="Arial" w:hAnsi="Arial" w:cs="Arial"/>
        </w:rPr>
      </w:pPr>
      <w:r w:rsidRPr="0019559E">
        <w:rPr>
          <w:rFonts w:ascii="Arial" w:hAnsi="Arial" w:cs="Arial"/>
        </w:rPr>
        <w:t>For XGBoost,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r w:rsidRPr="0019559E">
        <w:rPr>
          <w:rFonts w:ascii="Arial" w:hAnsi="Arial" w:cs="Arial"/>
        </w:rPr>
        <w:lastRenderedPageBreak/>
        <w:t>Englishexam_: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XGBoost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Similar to LightGBM, demographic features like Gender, Age, and Current_Year have minimal influence. Again, features like Current_School, Current_Curriculum, and Previous_yearGrade have no effect on the prediction (all are 0.00000).</w:t>
      </w:r>
    </w:p>
    <w:p w14:paraId="26EDFB52" w14:textId="57D83F13"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6AB5750E" w14:textId="0E4F6BCA" w:rsidR="00AB457F" w:rsidRDefault="00AB457F" w:rsidP="00AB457F">
      <w:pPr>
        <w:pStyle w:val="ListParagraph"/>
        <w:numPr>
          <w:ilvl w:val="0"/>
          <w:numId w:val="49"/>
        </w:numPr>
        <w:jc w:val="both"/>
        <w:rPr>
          <w:rFonts w:ascii="Arial" w:hAnsi="Arial" w:cs="Arial"/>
          <w:b/>
          <w:bCs/>
        </w:rPr>
      </w:pPr>
      <w:r w:rsidRPr="00EF22A9">
        <w:rPr>
          <w:rFonts w:ascii="Arial" w:hAnsi="Arial" w:cs="Arial"/>
          <w:b/>
          <w:bCs/>
        </w:rPr>
        <w:t>LightGBM Model</w:t>
      </w:r>
    </w:p>
    <w:p w14:paraId="3C6B442C" w14:textId="220F096C" w:rsidR="00AB457F" w:rsidRDefault="00AB457F" w:rsidP="00AB457F">
      <w:pPr>
        <w:jc w:val="both"/>
        <w:rPr>
          <w:rFonts w:ascii="Arial" w:hAnsi="Arial" w:cs="Arial"/>
        </w:rPr>
      </w:pPr>
      <w:r w:rsidRPr="00AB457F">
        <w:rPr>
          <w:rFonts w:ascii="Arial" w:hAnsi="Arial" w:cs="Arial"/>
        </w:rPr>
        <w:t>In contrast, the LightGBM model showed a stronger dependence on Math193_, which had a higher mean importance score of 0.0398. Other significant contributors included Mathexam, English193_, and Math191_, all of which had importance values above 0.02. Interestingly, LightGBM ranked some features higher than XGBoost, such as Math191_ and Math203_, suggesting slight differences in how the two models utilise input variables.</w:t>
      </w:r>
    </w:p>
    <w:p w14:paraId="149B407C" w14:textId="588F37B8" w:rsidR="00AB457F" w:rsidRPr="00AB457F" w:rsidRDefault="00AB457F" w:rsidP="00AB457F">
      <w:pPr>
        <w:jc w:val="both"/>
        <w:rPr>
          <w:rFonts w:ascii="Arial" w:hAnsi="Arial" w:cs="Arial"/>
        </w:rPr>
      </w:pPr>
      <w:r>
        <w:rPr>
          <w:rFonts w:ascii="Arial" w:hAnsi="Arial" w:cs="Arial"/>
          <w:noProof/>
        </w:rPr>
        <w:lastRenderedPageBreak/>
        <w:drawing>
          <wp:inline distT="0" distB="0" distL="0" distR="0" wp14:anchorId="52B90853" wp14:editId="4A953140">
            <wp:extent cx="5722620" cy="3436620"/>
            <wp:effectExtent l="0" t="0" r="0" b="0"/>
            <wp:docPr id="37996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5DD1B8FA" w14:textId="77777777" w:rsidR="00AB457F" w:rsidRDefault="00AB457F" w:rsidP="00AB457F">
      <w:pPr>
        <w:pStyle w:val="ListParagraph"/>
        <w:jc w:val="both"/>
        <w:rPr>
          <w:rFonts w:ascii="Arial" w:hAnsi="Arial" w:cs="Arial"/>
          <w:b/>
          <w:bCs/>
        </w:rPr>
      </w:pPr>
    </w:p>
    <w:p w14:paraId="0E8C3DBE" w14:textId="655822F5" w:rsidR="00AB457F" w:rsidRDefault="00AB457F" w:rsidP="00AB457F">
      <w:pPr>
        <w:pStyle w:val="ListParagraph"/>
        <w:numPr>
          <w:ilvl w:val="0"/>
          <w:numId w:val="49"/>
        </w:numPr>
        <w:jc w:val="both"/>
        <w:rPr>
          <w:rFonts w:ascii="Arial" w:hAnsi="Arial" w:cs="Arial"/>
          <w:b/>
          <w:bCs/>
        </w:rPr>
      </w:pPr>
      <w:r>
        <w:rPr>
          <w:rFonts w:ascii="Arial" w:hAnsi="Arial" w:cs="Arial"/>
          <w:b/>
          <w:bCs/>
        </w:rPr>
        <w:t>XGBoost</w:t>
      </w:r>
    </w:p>
    <w:p w14:paraId="270D965A" w14:textId="42C95953" w:rsidR="00AB457F" w:rsidRDefault="00AB457F" w:rsidP="00AB457F">
      <w:pPr>
        <w:jc w:val="both"/>
        <w:rPr>
          <w:rFonts w:ascii="Arial" w:hAnsi="Arial" w:cs="Arial"/>
        </w:rPr>
      </w:pPr>
      <w:r w:rsidRPr="00AB457F">
        <w:rPr>
          <w:rFonts w:ascii="Arial" w:hAnsi="Arial" w:cs="Arial"/>
        </w:rPr>
        <w:t xml:space="preserve">For the XGBoost model, the feature Math193_ emerged as the most influential, with a mean importance score of approximately 0.0301, followed by Math202_, Science203_, and Englishexam_. Notably, features such as Previous_yearGrade, Current_School, and Proposed_YearGrade_1819 had zero importance scores, indicating that their permutation had no measurable effect on model performance, and thus they contribute negligibly to predictions. Several features even exhibited slightly negative importance values, suggesting that random shuffling may have, counterintuitively, improved model performance </w:t>
      </w:r>
      <w:r w:rsidRPr="00AB457F">
        <w:rPr>
          <w:rFonts w:ascii="Arial" w:hAnsi="Arial" w:cs="Arial"/>
        </w:rPr>
        <w:t>marginally likely</w:t>
      </w:r>
      <w:r w:rsidRPr="00AB457F">
        <w:rPr>
          <w:rFonts w:ascii="Arial" w:hAnsi="Arial" w:cs="Arial"/>
        </w:rPr>
        <w:t xml:space="preserve"> due to noise or redundant information.</w:t>
      </w:r>
    </w:p>
    <w:p w14:paraId="47EB1F3A" w14:textId="1027C7D0" w:rsidR="00AB457F" w:rsidRDefault="00AB457F" w:rsidP="00AB457F">
      <w:pPr>
        <w:jc w:val="both"/>
        <w:rPr>
          <w:rFonts w:ascii="Arial" w:hAnsi="Arial" w:cs="Arial"/>
        </w:rPr>
      </w:pPr>
      <w:r>
        <w:rPr>
          <w:rFonts w:ascii="Arial" w:hAnsi="Arial" w:cs="Arial"/>
          <w:noProof/>
        </w:rPr>
        <w:lastRenderedPageBreak/>
        <w:drawing>
          <wp:inline distT="0" distB="0" distL="0" distR="0" wp14:anchorId="2024F3D5" wp14:editId="760DF2C8">
            <wp:extent cx="5722620" cy="3436620"/>
            <wp:effectExtent l="0" t="0" r="0" b="0"/>
            <wp:docPr id="178646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654F4277" w14:textId="77777777" w:rsidR="00AB457F" w:rsidRPr="00AB457F" w:rsidRDefault="00AB457F" w:rsidP="00AB457F">
      <w:pPr>
        <w:jc w:val="both"/>
        <w:rPr>
          <w:rFonts w:ascii="Arial" w:hAnsi="Arial" w:cs="Arial"/>
        </w:rPr>
      </w:pPr>
      <w:r w:rsidRPr="00AB457F">
        <w:rPr>
          <w:rFonts w:ascii="Arial" w:hAnsi="Arial" w:cs="Arial"/>
        </w:rPr>
        <w:t>Overall, both models demonstrated a consistent emphasis on mathematics-related features, underscoring the domain relevance of these variables in predicting the target outcome. Features with zero or near-zero importance can be considered for exclusion in future iterations to simplify the model without sacrificing accuracy.</w:t>
      </w:r>
    </w:p>
    <w:p w14:paraId="2CB5AF71" w14:textId="77777777" w:rsidR="00AB457F" w:rsidRPr="00AB457F" w:rsidRDefault="00AB457F" w:rsidP="00AB457F">
      <w:pPr>
        <w:jc w:val="both"/>
        <w:rPr>
          <w:rFonts w:ascii="Arial" w:hAnsi="Arial" w:cs="Arial"/>
        </w:rPr>
      </w:pPr>
      <w:r w:rsidRPr="00AB457F">
        <w:rPr>
          <w:rFonts w:ascii="Arial" w:hAnsi="Arial" w:cs="Arial"/>
        </w:rPr>
        <w:t>The results of this analysis are visually summarised in the accompanying bar plots, where features are ordered by decreasing importance score, allowing for a clear comparison across both algorithms.</w:t>
      </w:r>
    </w:p>
    <w:p w14:paraId="48B05D99" w14:textId="77777777" w:rsidR="003C004E" w:rsidRDefault="003C004E" w:rsidP="003C004E"/>
    <w:p w14:paraId="541EEA3A" w14:textId="47258257"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4</w:t>
      </w:r>
      <w:r w:rsidRPr="00660771">
        <w:rPr>
          <w:rFonts w:ascii="Arial" w:hAnsi="Arial" w:cs="Arial"/>
          <w:b/>
          <w:bCs/>
          <w:color w:val="auto"/>
          <w:sz w:val="22"/>
          <w:szCs w:val="22"/>
        </w:rPr>
        <w:t xml:space="preserve"> </w:t>
      </w:r>
      <w:r w:rsidR="00AB457F" w:rsidRPr="00AB457F">
        <w:rPr>
          <w:rFonts w:ascii="Arial" w:hAnsi="Arial" w:cs="Arial"/>
          <w:b/>
          <w:bCs/>
          <w:color w:val="auto"/>
          <w:sz w:val="22"/>
          <w:szCs w:val="22"/>
        </w:rPr>
        <w:t>Partial Dependence Plot</w:t>
      </w:r>
      <w:r w:rsidR="00AB457F" w:rsidRPr="00AB457F">
        <w:rPr>
          <w:rFonts w:ascii="Arial" w:hAnsi="Arial" w:cs="Arial"/>
          <w:b/>
          <w:bCs/>
          <w:color w:val="auto"/>
          <w:sz w:val="22"/>
          <w:szCs w:val="22"/>
        </w:rPr>
        <w:t xml:space="preserve"> </w:t>
      </w:r>
      <w:r w:rsidR="00AB457F">
        <w:rPr>
          <w:rFonts w:ascii="Arial" w:hAnsi="Arial" w:cs="Arial"/>
          <w:b/>
          <w:bCs/>
          <w:color w:val="auto"/>
          <w:sz w:val="22"/>
          <w:szCs w:val="22"/>
        </w:rPr>
        <w:t>(PDP</w:t>
      </w:r>
      <w:r w:rsidRPr="00660771">
        <w:rPr>
          <w:rFonts w:ascii="Arial" w:hAnsi="Arial" w:cs="Arial"/>
          <w:b/>
          <w:bCs/>
          <w:color w:val="auto"/>
          <w:sz w:val="22"/>
          <w:szCs w:val="22"/>
        </w:rPr>
        <w:t>) Result</w:t>
      </w:r>
    </w:p>
    <w:p w14:paraId="3C829CEC" w14:textId="77777777" w:rsidR="00066B46" w:rsidRPr="00066B46" w:rsidRDefault="00AB457F" w:rsidP="0082425E">
      <w:pPr>
        <w:pStyle w:val="ListParagraph"/>
        <w:numPr>
          <w:ilvl w:val="0"/>
          <w:numId w:val="50"/>
        </w:numPr>
        <w:ind w:left="360"/>
        <w:jc w:val="both"/>
        <w:rPr>
          <w:rFonts w:ascii="Arial" w:hAnsi="Arial" w:cs="Arial"/>
        </w:rPr>
      </w:pPr>
      <w:r w:rsidRPr="00066B46">
        <w:rPr>
          <w:rFonts w:ascii="Arial" w:hAnsi="Arial" w:cs="Arial"/>
          <w:b/>
          <w:bCs/>
        </w:rPr>
        <w:t>LightGBM Model</w:t>
      </w:r>
    </w:p>
    <w:p w14:paraId="41CFA43B" w14:textId="77777777" w:rsidR="00066B46" w:rsidRPr="00066B46" w:rsidRDefault="00066B46" w:rsidP="00066B46">
      <w:pPr>
        <w:jc w:val="both"/>
        <w:rPr>
          <w:rFonts w:ascii="Arial" w:hAnsi="Arial" w:cs="Arial"/>
        </w:rPr>
      </w:pPr>
      <w:r w:rsidRPr="00066B46">
        <w:rPr>
          <w:rFonts w:ascii="Arial" w:hAnsi="Arial" w:cs="Arial"/>
        </w:rPr>
        <w:t>The Partial Dependence Plots (PDPs) for the LightGBM model illustrate the relationship between key features and the predicted outcome across various input values. These plots are crucial for interpreting the model's behaviour, particularly in terms of how individual features impact predictions while marginalising over all other features.</w:t>
      </w:r>
    </w:p>
    <w:p w14:paraId="1E3817BA" w14:textId="77777777" w:rsidR="00066B46" w:rsidRPr="00066B46" w:rsidRDefault="00066B46" w:rsidP="00066B46">
      <w:pPr>
        <w:jc w:val="both"/>
        <w:rPr>
          <w:rFonts w:ascii="Arial" w:hAnsi="Arial" w:cs="Arial"/>
        </w:rPr>
      </w:pPr>
    </w:p>
    <w:p w14:paraId="00BA5B16" w14:textId="3FD4E74F" w:rsidR="00066B46" w:rsidRDefault="00066B46" w:rsidP="00066B46">
      <w:pPr>
        <w:jc w:val="both"/>
        <w:rPr>
          <w:rFonts w:ascii="Arial" w:hAnsi="Arial" w:cs="Arial"/>
        </w:rPr>
      </w:pPr>
      <w:r>
        <w:rPr>
          <w:rFonts w:ascii="Arial" w:hAnsi="Arial" w:cs="Arial"/>
          <w:noProof/>
        </w:rPr>
        <w:lastRenderedPageBreak/>
        <w:drawing>
          <wp:inline distT="0" distB="0" distL="0" distR="0" wp14:anchorId="3A68B303" wp14:editId="22C02194">
            <wp:extent cx="5730240" cy="5730240"/>
            <wp:effectExtent l="0" t="0" r="3810" b="3810"/>
            <wp:docPr id="110043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06FE20E4" w14:textId="77777777" w:rsidR="00066B46" w:rsidRPr="00066B46" w:rsidRDefault="00066B46" w:rsidP="00066B46">
      <w:pPr>
        <w:jc w:val="both"/>
        <w:rPr>
          <w:rFonts w:ascii="Arial" w:hAnsi="Arial" w:cs="Arial"/>
        </w:rPr>
      </w:pPr>
      <w:r w:rsidRPr="00066B46">
        <w:rPr>
          <w:rFonts w:ascii="Arial" w:hAnsi="Arial" w:cs="Arial"/>
        </w:rPr>
        <w:t>English193_ Feature:</w:t>
      </w:r>
    </w:p>
    <w:p w14:paraId="5E408618" w14:textId="77777777" w:rsidR="00066B46" w:rsidRPr="00066B46" w:rsidRDefault="00066B46" w:rsidP="00066B46">
      <w:pPr>
        <w:jc w:val="both"/>
        <w:rPr>
          <w:rFonts w:ascii="Arial" w:hAnsi="Arial" w:cs="Arial"/>
        </w:rPr>
      </w:pPr>
      <w:r w:rsidRPr="00066B46">
        <w:rPr>
          <w:rFonts w:ascii="Arial" w:hAnsi="Arial" w:cs="Arial"/>
        </w:rPr>
        <w:t>The PDP for the feature English193_ shows a decreasing trend in predicted values as the feature value increases. Initially, there is a noticeable decline in the partial dependence from 56.41 to 62.68, after which the change in the trend flattens out around 68.95. This suggests that, for this feature, the model predicts lower values as English193_ increases, but this effect becomes less pronounced as the feature approaches higher values.</w:t>
      </w:r>
    </w:p>
    <w:p w14:paraId="6C653A8E" w14:textId="77777777" w:rsidR="00066B46" w:rsidRPr="00066B46" w:rsidRDefault="00066B46" w:rsidP="00066B46">
      <w:pPr>
        <w:jc w:val="both"/>
        <w:rPr>
          <w:rFonts w:ascii="Arial" w:hAnsi="Arial" w:cs="Arial"/>
        </w:rPr>
      </w:pPr>
      <w:r w:rsidRPr="00066B46">
        <w:rPr>
          <w:rFonts w:ascii="Arial" w:hAnsi="Arial" w:cs="Arial"/>
        </w:rPr>
        <w:t>Math193_ Feature:</w:t>
      </w:r>
    </w:p>
    <w:p w14:paraId="028452C0" w14:textId="77777777" w:rsidR="00066B46" w:rsidRPr="00066B46" w:rsidRDefault="00066B46" w:rsidP="00066B46">
      <w:pPr>
        <w:jc w:val="both"/>
        <w:rPr>
          <w:rFonts w:ascii="Arial" w:hAnsi="Arial" w:cs="Arial"/>
        </w:rPr>
      </w:pPr>
      <w:r w:rsidRPr="00066B46">
        <w:rPr>
          <w:rFonts w:ascii="Arial" w:hAnsi="Arial" w:cs="Arial"/>
        </w:rPr>
        <w:t>The PDP for Math193_ exhibits a more complex relationship. Initially, there is a significant drop in the prediction value as the feature increases from 55.36 to 57.71, after which the trend becomes relatively flat with slight fluctuations. This suggests that for the lower values of Math193_, there is a stronger predictive impact on the outcome, which diminishes as the feature reaches higher values.</w:t>
      </w:r>
    </w:p>
    <w:p w14:paraId="2967384A" w14:textId="77777777" w:rsidR="00066B46" w:rsidRPr="00066B46" w:rsidRDefault="00066B46" w:rsidP="00066B46">
      <w:pPr>
        <w:jc w:val="both"/>
        <w:rPr>
          <w:rFonts w:ascii="Arial" w:hAnsi="Arial" w:cs="Arial"/>
        </w:rPr>
      </w:pPr>
      <w:r w:rsidRPr="00066B46">
        <w:rPr>
          <w:rFonts w:ascii="Arial" w:hAnsi="Arial" w:cs="Arial"/>
        </w:rPr>
        <w:t>Mathexam Feature:</w:t>
      </w:r>
    </w:p>
    <w:p w14:paraId="77E72C9F" w14:textId="77777777" w:rsidR="00066B46" w:rsidRPr="00066B46" w:rsidRDefault="00066B46" w:rsidP="00066B46">
      <w:pPr>
        <w:jc w:val="both"/>
        <w:rPr>
          <w:rFonts w:ascii="Arial" w:hAnsi="Arial" w:cs="Arial"/>
        </w:rPr>
      </w:pPr>
      <w:r w:rsidRPr="00066B46">
        <w:rPr>
          <w:rFonts w:ascii="Arial" w:hAnsi="Arial" w:cs="Arial"/>
        </w:rPr>
        <w:lastRenderedPageBreak/>
        <w:t>For the Mathexam feature, the PDP indicates a relatively stable prediction across the range of feature values, with only a slight decrease in predicted values as the feature increases from 50 to 80.79. This suggests that changes in Mathexam values have a minimal impact on the model's predictions.</w:t>
      </w:r>
    </w:p>
    <w:p w14:paraId="28C13296" w14:textId="77777777" w:rsidR="00AB457F" w:rsidRDefault="00AB457F" w:rsidP="00066B46">
      <w:pPr>
        <w:pStyle w:val="ListParagraph"/>
        <w:ind w:left="360"/>
        <w:jc w:val="both"/>
        <w:rPr>
          <w:rFonts w:ascii="Arial" w:hAnsi="Arial" w:cs="Arial"/>
          <w:b/>
          <w:bCs/>
        </w:rPr>
      </w:pPr>
    </w:p>
    <w:p w14:paraId="16BE69A7" w14:textId="77777777" w:rsidR="00AB457F" w:rsidRDefault="00AB457F" w:rsidP="00066B46">
      <w:pPr>
        <w:pStyle w:val="ListParagraph"/>
        <w:numPr>
          <w:ilvl w:val="0"/>
          <w:numId w:val="50"/>
        </w:numPr>
        <w:ind w:left="360"/>
        <w:jc w:val="both"/>
        <w:rPr>
          <w:rFonts w:ascii="Arial" w:hAnsi="Arial" w:cs="Arial"/>
          <w:b/>
          <w:bCs/>
        </w:rPr>
      </w:pPr>
      <w:r>
        <w:rPr>
          <w:rFonts w:ascii="Arial" w:hAnsi="Arial" w:cs="Arial"/>
          <w:b/>
          <w:bCs/>
        </w:rPr>
        <w:t>XGBoost</w:t>
      </w:r>
    </w:p>
    <w:p w14:paraId="3E33DE80" w14:textId="20F35AB5" w:rsidR="00066B46" w:rsidRPr="00066B46" w:rsidRDefault="00066B46" w:rsidP="00066B46">
      <w:pPr>
        <w:jc w:val="both"/>
        <w:rPr>
          <w:rFonts w:ascii="Arial" w:hAnsi="Arial" w:cs="Arial"/>
        </w:rPr>
      </w:pPr>
      <w:r w:rsidRPr="00066B46">
        <w:rPr>
          <w:rFonts w:ascii="Arial" w:hAnsi="Arial" w:cs="Arial"/>
        </w:rPr>
        <w:t>The Partial Dependence Plots for the XGBoost model provide insights into the feature-impact relationships in a similar manner. Notably, XGBoost's PDPs display distinct patterns for each feature, reflecting how the model incorporates individual feature information into the prediction process.</w:t>
      </w:r>
    </w:p>
    <w:p w14:paraId="5B8B2BCD" w14:textId="6BA4381D" w:rsidR="00066B46" w:rsidRDefault="00066B46" w:rsidP="00066B46">
      <w:pPr>
        <w:jc w:val="both"/>
        <w:rPr>
          <w:rFonts w:ascii="Arial" w:hAnsi="Arial" w:cs="Arial"/>
        </w:rPr>
      </w:pPr>
      <w:r>
        <w:rPr>
          <w:rFonts w:ascii="Arial" w:hAnsi="Arial" w:cs="Arial"/>
          <w:noProof/>
        </w:rPr>
        <w:drawing>
          <wp:inline distT="0" distB="0" distL="0" distR="0" wp14:anchorId="4D1CDC15" wp14:editId="57B23B92">
            <wp:extent cx="5730240" cy="5730240"/>
            <wp:effectExtent l="0" t="0" r="3810" b="3810"/>
            <wp:docPr id="1144304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72E1C895" w14:textId="77777777" w:rsidR="00066B46" w:rsidRPr="00066B46" w:rsidRDefault="00066B46" w:rsidP="00066B46">
      <w:pPr>
        <w:jc w:val="both"/>
        <w:rPr>
          <w:rFonts w:ascii="Arial" w:hAnsi="Arial" w:cs="Arial"/>
        </w:rPr>
      </w:pPr>
      <w:r w:rsidRPr="00066B46">
        <w:rPr>
          <w:rFonts w:ascii="Arial" w:hAnsi="Arial" w:cs="Arial"/>
        </w:rPr>
        <w:t>Math193_ Feature:</w:t>
      </w:r>
    </w:p>
    <w:p w14:paraId="5AD8FB0E" w14:textId="77777777" w:rsidR="00066B46" w:rsidRPr="00066B46" w:rsidRDefault="00066B46" w:rsidP="00066B46">
      <w:pPr>
        <w:jc w:val="both"/>
        <w:rPr>
          <w:rFonts w:ascii="Arial" w:hAnsi="Arial" w:cs="Arial"/>
        </w:rPr>
      </w:pPr>
      <w:r w:rsidRPr="00066B46">
        <w:rPr>
          <w:rFonts w:ascii="Arial" w:hAnsi="Arial" w:cs="Arial"/>
        </w:rPr>
        <w:t xml:space="preserve">The PDP for Math193_ in the XGBoost model shows a similar downward trend to that of LightGBM, with a pronounced decrease in the predicted value as the feature increases from 55.36 to 62.41. After this point, the decrease slows and stabilises as Math193_ reaches higher </w:t>
      </w:r>
      <w:r w:rsidRPr="00066B46">
        <w:rPr>
          <w:rFonts w:ascii="Arial" w:hAnsi="Arial" w:cs="Arial"/>
        </w:rPr>
        <w:lastRenderedPageBreak/>
        <w:t>values. This suggests that, in XGBoost, the impact of Math193_ on predictions follows a more predictable decreasing pattern.</w:t>
      </w:r>
    </w:p>
    <w:p w14:paraId="51243CE6" w14:textId="77777777" w:rsidR="00066B46" w:rsidRPr="00066B46" w:rsidRDefault="00066B46" w:rsidP="00066B46">
      <w:pPr>
        <w:jc w:val="both"/>
        <w:rPr>
          <w:rFonts w:ascii="Arial" w:hAnsi="Arial" w:cs="Arial"/>
        </w:rPr>
      </w:pPr>
      <w:r w:rsidRPr="00066B46">
        <w:rPr>
          <w:rFonts w:ascii="Arial" w:hAnsi="Arial" w:cs="Arial"/>
        </w:rPr>
        <w:t>Math202_ Feature:</w:t>
      </w:r>
    </w:p>
    <w:p w14:paraId="76412436" w14:textId="77777777" w:rsidR="00066B46" w:rsidRPr="00066B46" w:rsidRDefault="00066B46" w:rsidP="00066B46">
      <w:pPr>
        <w:jc w:val="both"/>
        <w:rPr>
          <w:rFonts w:ascii="Arial" w:hAnsi="Arial" w:cs="Arial"/>
        </w:rPr>
      </w:pPr>
      <w:r w:rsidRPr="00066B46">
        <w:rPr>
          <w:rFonts w:ascii="Arial" w:hAnsi="Arial" w:cs="Arial"/>
        </w:rPr>
        <w:t>The Math202_ feature shows a flat relationship in the PDP, with predictions remaining relatively constant across its range. The slight downward shift, particularly after the feature value exceeds 69.82, suggests a minor but consistent decrease in predictions as this feature increases. This indicates that changes in Math202_ do not have a strong predictive effect, but still contribute to the overall model behaviour.</w:t>
      </w:r>
    </w:p>
    <w:p w14:paraId="3C171198" w14:textId="77777777" w:rsidR="00066B46" w:rsidRPr="00066B46" w:rsidRDefault="00066B46" w:rsidP="00066B46">
      <w:pPr>
        <w:jc w:val="both"/>
        <w:rPr>
          <w:rFonts w:ascii="Arial" w:hAnsi="Arial" w:cs="Arial"/>
        </w:rPr>
      </w:pPr>
      <w:r w:rsidRPr="00066B46">
        <w:rPr>
          <w:rFonts w:ascii="Arial" w:hAnsi="Arial" w:cs="Arial"/>
        </w:rPr>
        <w:t>Science203_ Feature:</w:t>
      </w:r>
    </w:p>
    <w:p w14:paraId="26CC18E6" w14:textId="4EB102BA" w:rsidR="00066B46" w:rsidRPr="00066B46" w:rsidRDefault="00066B46" w:rsidP="00066B46">
      <w:pPr>
        <w:jc w:val="both"/>
        <w:rPr>
          <w:rFonts w:ascii="Arial" w:hAnsi="Arial" w:cs="Arial"/>
        </w:rPr>
      </w:pPr>
      <w:r w:rsidRPr="00066B46">
        <w:rPr>
          <w:rFonts w:ascii="Arial" w:hAnsi="Arial" w:cs="Arial"/>
        </w:rPr>
        <w:t>The PDP for Science203_ reveals a decreasing trend, with predicted values gradually declining as the feature increases. Initially, the plot shows a slight decrease in the range of values between 62.04 and 64.04, followed by a more significant decline. This suggests that for Science203_, the model predicts lower outcomes as the feature increases, reflecting the potential inverse relationship between this feature and the predicted output.</w:t>
      </w:r>
    </w:p>
    <w:p w14:paraId="12AF15F6" w14:textId="2CBD7D72" w:rsidR="003C004E" w:rsidRPr="00066B46" w:rsidRDefault="00066B46" w:rsidP="00066B46">
      <w:pPr>
        <w:jc w:val="both"/>
        <w:rPr>
          <w:rFonts w:ascii="Arial" w:hAnsi="Arial" w:cs="Arial"/>
        </w:rPr>
      </w:pPr>
      <w:r w:rsidRPr="00066B46">
        <w:rPr>
          <w:rFonts w:ascii="Arial" w:hAnsi="Arial" w:cs="Arial"/>
        </w:rPr>
        <w:t>This analysis highlights the varying degrees of feature importance and non-linearity across both the LightGBM and XGBoost models. By examining the PDPs, we gain valuable insights into how the models treat individual features and their contribution to the overall prediction, which is essential for both model interpretation and decision-making.</w:t>
      </w:r>
    </w:p>
    <w:p w14:paraId="71EA902F" w14:textId="537F010B"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5</w:t>
      </w:r>
      <w:r w:rsidRPr="00660771">
        <w:rPr>
          <w:rFonts w:ascii="Arial" w:hAnsi="Arial" w:cs="Arial"/>
          <w:b/>
          <w:bCs/>
          <w:color w:val="auto"/>
          <w:sz w:val="22"/>
          <w:szCs w:val="22"/>
        </w:rPr>
        <w:t xml:space="preserve"> </w:t>
      </w:r>
      <w:r w:rsidR="00AB457F" w:rsidRPr="00AB457F">
        <w:rPr>
          <w:rFonts w:ascii="Arial" w:hAnsi="Arial" w:cs="Arial"/>
          <w:b/>
          <w:bCs/>
          <w:color w:val="auto"/>
          <w:sz w:val="22"/>
          <w:szCs w:val="22"/>
        </w:rPr>
        <w:t>Accumulated Local Effects</w:t>
      </w:r>
      <w:r w:rsidR="00AB457F" w:rsidRPr="00AB457F">
        <w:rPr>
          <w:rFonts w:ascii="Arial" w:hAnsi="Arial" w:cs="Arial"/>
          <w:b/>
          <w:bCs/>
          <w:color w:val="auto"/>
          <w:sz w:val="22"/>
          <w:szCs w:val="22"/>
        </w:rPr>
        <w:t xml:space="preserve"> </w:t>
      </w:r>
      <w:r w:rsidRPr="00660771">
        <w:rPr>
          <w:rFonts w:ascii="Arial" w:hAnsi="Arial" w:cs="Arial"/>
          <w:b/>
          <w:bCs/>
          <w:color w:val="auto"/>
          <w:sz w:val="22"/>
          <w:szCs w:val="22"/>
        </w:rPr>
        <w:t>(</w:t>
      </w:r>
      <w:r w:rsidR="00AB457F">
        <w:rPr>
          <w:rFonts w:ascii="Arial" w:hAnsi="Arial" w:cs="Arial"/>
          <w:b/>
          <w:bCs/>
          <w:color w:val="auto"/>
          <w:sz w:val="22"/>
          <w:szCs w:val="22"/>
        </w:rPr>
        <w:t>ALE</w:t>
      </w:r>
      <w:r w:rsidRPr="00660771">
        <w:rPr>
          <w:rFonts w:ascii="Arial" w:hAnsi="Arial" w:cs="Arial"/>
          <w:b/>
          <w:bCs/>
          <w:color w:val="auto"/>
          <w:sz w:val="22"/>
          <w:szCs w:val="22"/>
        </w:rPr>
        <w:t>) Result</w:t>
      </w:r>
    </w:p>
    <w:p w14:paraId="733456CB" w14:textId="77777777" w:rsidR="00AB457F" w:rsidRDefault="00AB457F" w:rsidP="00AB457F">
      <w:pPr>
        <w:pStyle w:val="ListParagraph"/>
        <w:numPr>
          <w:ilvl w:val="0"/>
          <w:numId w:val="51"/>
        </w:numPr>
        <w:jc w:val="both"/>
        <w:rPr>
          <w:rFonts w:ascii="Arial" w:hAnsi="Arial" w:cs="Arial"/>
          <w:b/>
          <w:bCs/>
        </w:rPr>
      </w:pPr>
      <w:r w:rsidRPr="00EF22A9">
        <w:rPr>
          <w:rFonts w:ascii="Arial" w:hAnsi="Arial" w:cs="Arial"/>
          <w:b/>
          <w:bCs/>
        </w:rPr>
        <w:t>LightGBM Model</w:t>
      </w:r>
    </w:p>
    <w:p w14:paraId="39F2A05C" w14:textId="77777777" w:rsidR="00AB457F" w:rsidRDefault="00AB457F" w:rsidP="00AB457F">
      <w:pPr>
        <w:pStyle w:val="ListParagraph"/>
        <w:jc w:val="both"/>
        <w:rPr>
          <w:rFonts w:ascii="Arial" w:hAnsi="Arial" w:cs="Arial"/>
          <w:b/>
          <w:bCs/>
        </w:rPr>
      </w:pPr>
    </w:p>
    <w:p w14:paraId="2BFEB194" w14:textId="77777777" w:rsidR="00AB457F" w:rsidRDefault="00AB457F" w:rsidP="00AB457F">
      <w:pPr>
        <w:pStyle w:val="ListParagraph"/>
        <w:numPr>
          <w:ilvl w:val="0"/>
          <w:numId w:val="51"/>
        </w:numPr>
        <w:jc w:val="both"/>
        <w:rPr>
          <w:rFonts w:ascii="Arial" w:hAnsi="Arial" w:cs="Arial"/>
          <w:b/>
          <w:bCs/>
        </w:rPr>
      </w:pPr>
      <w:r>
        <w:rPr>
          <w:rFonts w:ascii="Arial" w:hAnsi="Arial" w:cs="Arial"/>
          <w:b/>
          <w:bCs/>
        </w:rPr>
        <w:t>XGBoost</w:t>
      </w:r>
    </w:p>
    <w:p w14:paraId="64EF5188" w14:textId="77777777" w:rsidR="00AB457F" w:rsidRPr="00AB457F" w:rsidRDefault="00AB457F" w:rsidP="00AB457F">
      <w:pPr>
        <w:pStyle w:val="ListParagraph"/>
        <w:rPr>
          <w:rFonts w:ascii="Arial" w:hAnsi="Arial" w:cs="Arial"/>
          <w:b/>
          <w:bCs/>
        </w:rPr>
      </w:pPr>
    </w:p>
    <w:p w14:paraId="70DD3942" w14:textId="77777777" w:rsidR="003C004E" w:rsidRPr="003C004E" w:rsidRDefault="003C004E" w:rsidP="003C004E"/>
    <w:p w14:paraId="68598917" w14:textId="77777777" w:rsidR="003C004E" w:rsidRPr="003D4748" w:rsidRDefault="003C004E" w:rsidP="003C004E">
      <w:pPr>
        <w:jc w:val="both"/>
        <w:rPr>
          <w:rFonts w:ascii="Arial" w:hAnsi="Arial" w:cs="Arial"/>
        </w:rPr>
      </w:pPr>
    </w:p>
    <w:p w14:paraId="0EDF4886" w14:textId="77777777" w:rsidR="003C004E" w:rsidRDefault="003C004E" w:rsidP="003D4748">
      <w:pPr>
        <w:jc w:val="both"/>
        <w:rPr>
          <w:rFonts w:ascii="Arial" w:hAnsi="Arial" w:cs="Arial"/>
        </w:rPr>
      </w:pP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lastRenderedPageBreak/>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4"/>
                    <a:stretch>
                      <a:fillRect/>
                    </a:stretch>
                  </pic:blipFill>
                  <pic:spPr>
                    <a:xfrm>
                      <a:off x="0" y="0"/>
                      <a:ext cx="5731510" cy="1301115"/>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5"/>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6"/>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lastRenderedPageBreak/>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Among the models tested, the Voting Classifier delivered the best overall performance. It achieved the highest accuracy (0.929), precision (0.941), and F1 Score (0.923), and showed strong results across all evaluation metrics. LightGBM and XGBoost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lastRenderedPageBreak/>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r w:rsidRPr="00D505AB">
        <w:rPr>
          <w:rFonts w:ascii="Arial" w:hAnsi="Arial" w:cs="Arial"/>
        </w:rPr>
        <w:t>LightGBM</w:t>
      </w:r>
      <w:r w:rsidRPr="00D63089">
        <w:t>.</w:t>
      </w:r>
    </w:p>
    <w:p w14:paraId="10CDB336" w14:textId="77777777" w:rsidR="00A67334" w:rsidRDefault="00A67334" w:rsidP="00A67334">
      <w:pPr>
        <w:ind w:left="360"/>
      </w:pPr>
      <w:r w:rsidRPr="00D63089">
        <w:t>Fig 4: Confusion Matrix for XGBoost</w:t>
      </w:r>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r>
        <w:t>LightGBM</w:t>
      </w:r>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XGBoost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XGBoost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[online] 35, p.106908. doi:</w:t>
      </w:r>
      <w:hyperlink r:id="rId37" w:history="1">
        <w:r w:rsidR="00657D18" w:rsidRPr="003D4748">
          <w:rPr>
            <w:rStyle w:val="Hyperlink"/>
            <w:rFonts w:ascii="Arial" w:hAnsi="Arial" w:cs="Arial"/>
          </w:rPr>
          <w:t>https://doi.org/10.1016/j.dib.2021.106908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lastRenderedPageBreak/>
        <w:t xml:space="preserve">Ghareeb, S., Hussain, A.J., Al-Jumeily, D., Khan, W., Al-Jumeily,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2(1), p.3. doi:</w:t>
      </w:r>
      <w:hyperlink r:id="rId38" w:history="1">
        <w:r w:rsidRPr="003D4748">
          <w:rPr>
            <w:rStyle w:val="Hyperlink"/>
            <w:rFonts w:ascii="Arial" w:hAnsi="Arial" w:cs="Arial"/>
          </w:rPr>
          <w:t>https://doi.org/10.1007/s43926-022-00023-0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doi: </w:t>
      </w:r>
      <w:hyperlink r:id="rId39"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Qureshi, R. and Lokhande, P.S. (2024). A Comprehensive Review of Machine Learning techniques used for Designing An Academic Result Predictor And Identifying The Multi-Dimensional Factors Affecting Student’s Academic Results. [online] pp.1–6. doi:</w:t>
      </w:r>
      <w:hyperlink r:id="rId40" w:history="1">
        <w:r w:rsidR="00657D18" w:rsidRPr="003D4748">
          <w:rPr>
            <w:rStyle w:val="Hyperlink"/>
            <w:rFonts w:ascii="Arial" w:hAnsi="Arial" w:cs="Arial"/>
          </w:rPr>
          <w:t>https://doi.org/10.1109/idicaiei61867.2024.10842901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Chandra S. K and K Santhosh Kumar (2022). Data Preprocessing and Visualizations Using Machine Learning for Student Placement Prediction. 2022 2nd International Conference on Technological Advancements in Computational Sciences (ICTACS). doi:</w:t>
      </w:r>
      <w:hyperlink r:id="rId41" w:history="1">
        <w:r w:rsidRPr="003D4748">
          <w:rPr>
            <w:rStyle w:val="Hyperlink"/>
            <w:rFonts w:ascii="Arial" w:hAnsi="Arial" w:cs="Arial"/>
          </w:rPr>
          <w:t>https://doi.org/10.1109/ictacs56270.2022.9988247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t>Ahmed, E. (2024). Student Performance Prediction Using Machine Learning Algorithms. Applied Computational Intelligence and Soft Computing, [online] 2024, p.e4067721. doi:</w:t>
      </w:r>
      <w:hyperlink r:id="rId42" w:history="1">
        <w:r w:rsidR="00657D18" w:rsidRPr="003D4748">
          <w:rPr>
            <w:rStyle w:val="Hyperlink"/>
            <w:rFonts w:ascii="Arial" w:hAnsi="Arial" w:cs="Arial"/>
          </w:rPr>
          <w:t>https://doi.org/10.1155/2024/4067721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r w:rsidRPr="003D4748">
        <w:rPr>
          <w:rFonts w:ascii="Arial" w:hAnsi="Arial" w:cs="Arial"/>
        </w:rPr>
        <w:t>Lagrazon, G.G., Edytha, J., Rossana, M. and Maaliw, R.R. (2023). Ensemble-Based Prediction Model for Enhanced Electronics Engineering Licensure Examination Results Using Student Performance Analysis. [online] doi:</w:t>
      </w:r>
      <w:hyperlink r:id="rId43" w:history="1">
        <w:r w:rsidRPr="003D4748">
          <w:rPr>
            <w:rStyle w:val="Hyperlink"/>
            <w:rFonts w:ascii="Arial" w:hAnsi="Arial" w:cs="Arial"/>
          </w:rPr>
          <w:t>https://doi.org/10.1109/iceeie59078.2023.10334657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4" w:history="1">
        <w:r w:rsidRPr="003D4748">
          <w:rPr>
            <w:rStyle w:val="Hyperlink"/>
            <w:rFonts w:ascii="Arial" w:hAnsi="Arial" w:cs="Arial"/>
          </w:rPr>
          <w:t>https://doi.org/10.1109/icrito56286.2022.9965023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Derawi, M. and Kumar, A. (2023). Prediction of Student’s Performance With Learning Coefficients Using Regression Based Machine Learning Models. </w:t>
      </w:r>
      <w:r w:rsidRPr="003D4748">
        <w:rPr>
          <w:rFonts w:ascii="Arial" w:hAnsi="Arial" w:cs="Arial"/>
          <w:i/>
          <w:iCs/>
        </w:rPr>
        <w:t>IEEE Access</w:t>
      </w:r>
      <w:r w:rsidRPr="003D4748">
        <w:rPr>
          <w:rFonts w:ascii="Arial" w:hAnsi="Arial" w:cs="Arial"/>
        </w:rPr>
        <w:t>, 11, pp.72732–72742. doi:</w:t>
      </w:r>
      <w:hyperlink r:id="rId45" w:history="1">
        <w:r w:rsidRPr="003D4748">
          <w:rPr>
            <w:rStyle w:val="Hyperlink"/>
            <w:rFonts w:ascii="Arial" w:hAnsi="Arial" w:cs="Arial"/>
          </w:rPr>
          <w:t>https://doi.org/10.1109/access.2023.3294700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[online] (Fall 2023). doi:</w:t>
      </w:r>
      <w:hyperlink r:id="rId46" w:history="1">
        <w:r w:rsidR="00BE1084" w:rsidRPr="003D4748">
          <w:rPr>
            <w:rStyle w:val="Hyperlink"/>
            <w:rFonts w:ascii="Arial" w:hAnsi="Arial" w:cs="Arial"/>
          </w:rPr>
          <w:t>https://doi.org/10.34315/apf1612023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Appiahene, P. and Inusah,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7, p.100204. doi:</w:t>
      </w:r>
      <w:hyperlink r:id="rId47" w:history="1">
        <w:r w:rsidRPr="003D4748">
          <w:rPr>
            <w:rStyle w:val="Hyperlink"/>
            <w:rFonts w:ascii="Arial" w:hAnsi="Arial" w:cs="Arial"/>
          </w:rPr>
          <w:t>https://doi.org/10.1016/j.dajour.2023.100204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16(3), pp.128–148. doi:</w:t>
      </w:r>
      <w:hyperlink r:id="rId48" w:history="1">
        <w:r w:rsidRPr="003D4748">
          <w:rPr>
            <w:rStyle w:val="Hyperlink"/>
            <w:rFonts w:ascii="Arial" w:hAnsi="Arial" w:cs="Arial"/>
          </w:rPr>
          <w:t>https://doi.org/10.9734/ajrcos/2023/v16i3351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Mubarak, A.T., Cao, H., Hezam, I.M. and Hao, F. (2022). Modeling students’ performance using graph convolutional networks. 8(3), pp.2183–2201. doi:</w:t>
      </w:r>
      <w:hyperlink r:id="rId49" w:history="1">
        <w:r w:rsidRPr="003D4748">
          <w:rPr>
            <w:rStyle w:val="Hyperlink"/>
            <w:rFonts w:ascii="Arial" w:hAnsi="Arial" w:cs="Arial"/>
          </w:rPr>
          <w:t>https://doi.org/10.1007/s40747-022-00647-3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lastRenderedPageBreak/>
        <w:t xml:space="preserve">Mohd Fazil, Angélica Rísquez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pp.1–19. doi:</w:t>
      </w:r>
      <w:hyperlink r:id="rId50" w:history="1">
        <w:r w:rsidRPr="003D4748">
          <w:rPr>
            <w:rStyle w:val="Hyperlink"/>
            <w:rFonts w:ascii="Arial" w:hAnsi="Arial" w:cs="Arial"/>
          </w:rPr>
          <w:t>https://doi.org/10.18608/jla.2024.7985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Behavior Monitoring using Machine Learning. </w:t>
      </w:r>
      <w:r w:rsidRPr="003D4748">
        <w:rPr>
          <w:rFonts w:ascii="Arial" w:hAnsi="Arial" w:cs="Arial"/>
          <w:i/>
          <w:iCs/>
        </w:rPr>
        <w:t>2023 International Conference on Inventive Computation Technologies (ICICT)</w:t>
      </w:r>
      <w:r w:rsidRPr="003D4748">
        <w:rPr>
          <w:rFonts w:ascii="Arial" w:hAnsi="Arial" w:cs="Arial"/>
        </w:rPr>
        <w:t>, pp.233–237. doi:</w:t>
      </w:r>
      <w:hyperlink r:id="rId51" w:history="1">
        <w:r w:rsidRPr="003D4748">
          <w:rPr>
            <w:rStyle w:val="Hyperlink"/>
            <w:rFonts w:ascii="Arial" w:hAnsi="Arial" w:cs="Arial"/>
          </w:rPr>
          <w:t>https://doi.org/10.1109/icict57646.2023.10134519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(InCACCT), [online] pp.566–572. doi:</w:t>
      </w:r>
      <w:hyperlink r:id="rId52" w:history="1">
        <w:r w:rsidRPr="00CA3E86">
          <w:rPr>
            <w:rStyle w:val="Hyperlink"/>
            <w:rFonts w:ascii="Arial" w:hAnsi="Arial" w:cs="Arial"/>
          </w:rPr>
          <w:t>https://doi.org/10.1109/incacct65424.2025.11011419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Ahmed, S., M. Shamim Kaiser, Mohammad Shahadat Hossain and Andersson, K. (2024). A Comparative Analysis of LIME and SHAP Interpreters with Explainable ML-Based Diabetes Predictions. IEEE Access, pp.1–1. doi:</w:t>
      </w:r>
      <w:hyperlink r:id="rId53" w:history="1">
        <w:r w:rsidRPr="00CA3E86">
          <w:rPr>
            <w:rStyle w:val="Hyperlink"/>
            <w:rFonts w:ascii="Arial" w:hAnsi="Arial" w:cs="Arial"/>
          </w:rPr>
          <w:t>https://doi.org/10.1109/access.2024.3422319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t xml:space="preserve">Mohammad T; Kahakashan A; Md.Hamid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[online] doi:</w:t>
      </w:r>
      <w:hyperlink r:id="rId54" w:history="1">
        <w:r w:rsidRPr="003D4748">
          <w:rPr>
            <w:rStyle w:val="Hyperlink"/>
            <w:rFonts w:ascii="Arial" w:hAnsi="Arial" w:cs="Arial"/>
          </w:rPr>
          <w:t>https://doi.org/10.1109/iCACCESS61735.2024.10499576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Modeling and Estimation Methods for Student Achievement Recognition Based on XGBoost Algorithm. </w:t>
      </w:r>
      <w:r w:rsidRPr="003D4748">
        <w:rPr>
          <w:rFonts w:ascii="Arial" w:hAnsi="Arial" w:cs="Arial"/>
          <w:i/>
          <w:iCs/>
        </w:rPr>
        <w:t>XGBoost Algorithm</w:t>
      </w:r>
      <w:r w:rsidRPr="003D4748">
        <w:rPr>
          <w:rFonts w:ascii="Arial" w:hAnsi="Arial" w:cs="Arial"/>
        </w:rPr>
        <w:t>, [online] pp.1–6. doi:</w:t>
      </w:r>
      <w:hyperlink r:id="rId55" w:history="1">
        <w:r w:rsidRPr="003D4748">
          <w:rPr>
            <w:rStyle w:val="Hyperlink"/>
            <w:rFonts w:ascii="Arial" w:hAnsi="Arial" w:cs="Arial"/>
          </w:rPr>
          <w:t>https://doi.org/10.1109/easct59475.2023.10392502</w:t>
        </w:r>
      </w:hyperlink>
    </w:p>
    <w:bookmarkEnd w:id="56"/>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[online] pp.443–456. doi:</w:t>
      </w:r>
      <w:hyperlink r:id="rId56" w:history="1">
        <w:r w:rsidRPr="003D4748">
          <w:rPr>
            <w:rStyle w:val="Hyperlink"/>
            <w:rFonts w:ascii="Arial" w:hAnsi="Arial" w:cs="Arial"/>
          </w:rPr>
          <w:t>https://doi.org/10.1109/cicn63059.2024.10847424</w:t>
        </w:r>
      </w:hyperlink>
      <w:r w:rsidRPr="003D4748">
        <w:rPr>
          <w:rFonts w:ascii="Arial" w:hAnsi="Arial" w:cs="Arial"/>
        </w:rPr>
        <w:t>.</w:t>
      </w:r>
      <w:bookmarkEnd w:id="53"/>
    </w:p>
    <w:p w14:paraId="2D46CBD9" w14:textId="2636B053" w:rsidR="00500B1D" w:rsidRPr="00500B1D" w:rsidRDefault="00500B1D" w:rsidP="00500B1D">
      <w:pPr>
        <w:numPr>
          <w:ilvl w:val="0"/>
          <w:numId w:val="10"/>
        </w:numPr>
        <w:jc w:val="both"/>
        <w:rPr>
          <w:rFonts w:ascii="Arial" w:hAnsi="Arial" w:cs="Arial"/>
        </w:rPr>
      </w:pPr>
      <w:r w:rsidRPr="00500B1D">
        <w:rPr>
          <w:rFonts w:ascii="Arial" w:hAnsi="Arial" w:cs="Arial"/>
        </w:rPr>
        <w:t>Ersozlu, Z., Taheri, S. and Koch, I. (2024). A review of machine learning methods used for educational data. Education and information technologies. doi:</w:t>
      </w:r>
      <w:hyperlink r:id="rId57" w:history="1">
        <w:r w:rsidRPr="001231D5">
          <w:rPr>
            <w:rStyle w:val="Hyperlink"/>
            <w:rFonts w:ascii="Arial" w:hAnsi="Arial" w:cs="Arial"/>
          </w:rPr>
          <w:t>https://doi.org/10.1007/s10639-024-12704-0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Johnston, L.J., Griffin, J.E., Manolopoulou, I. and Jendoubi, T. (2024). Uncovering Student Engagement Patterns in Moodle with Interpretable Machine Learning. arXiv (Cornell University). doi:</w:t>
      </w:r>
      <w:hyperlink r:id="rId58" w:history="1">
        <w:r w:rsidRPr="001231D5">
          <w:rPr>
            <w:rStyle w:val="Hyperlink"/>
            <w:rFonts w:ascii="Arial" w:hAnsi="Arial" w:cs="Arial"/>
          </w:rPr>
          <w:t>https://doi.org/10.48550/arxiv.2412.11826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doi: </w:t>
      </w:r>
      <w:hyperlink r:id="rId59"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BC3A6" w14:textId="77777777" w:rsidR="0083096A" w:rsidRDefault="0083096A" w:rsidP="00434BF3">
      <w:pPr>
        <w:spacing w:after="0" w:line="240" w:lineRule="auto"/>
      </w:pPr>
      <w:r>
        <w:separator/>
      </w:r>
    </w:p>
  </w:endnote>
  <w:endnote w:type="continuationSeparator" w:id="0">
    <w:p w14:paraId="0DBFACF7" w14:textId="77777777" w:rsidR="0083096A" w:rsidRDefault="0083096A"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76F2F" w14:textId="77777777" w:rsidR="0083096A" w:rsidRDefault="0083096A" w:rsidP="00434BF3">
      <w:pPr>
        <w:spacing w:after="0" w:line="240" w:lineRule="auto"/>
      </w:pPr>
      <w:r>
        <w:separator/>
      </w:r>
    </w:p>
  </w:footnote>
  <w:footnote w:type="continuationSeparator" w:id="0">
    <w:p w14:paraId="637CF48D" w14:textId="77777777" w:rsidR="0083096A" w:rsidRDefault="0083096A"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91304"/>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E4D5F"/>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8614973"/>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4"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5"/>
  </w:num>
  <w:num w:numId="2" w16cid:durableId="2045859934">
    <w:abstractNumId w:val="3"/>
  </w:num>
  <w:num w:numId="3" w16cid:durableId="462230858">
    <w:abstractNumId w:val="13"/>
  </w:num>
  <w:num w:numId="4" w16cid:durableId="1012731104">
    <w:abstractNumId w:val="36"/>
  </w:num>
  <w:num w:numId="5" w16cid:durableId="811410790">
    <w:abstractNumId w:val="50"/>
  </w:num>
  <w:num w:numId="6" w16cid:durableId="2088385212">
    <w:abstractNumId w:val="48"/>
  </w:num>
  <w:num w:numId="7" w16cid:durableId="1165632015">
    <w:abstractNumId w:val="41"/>
  </w:num>
  <w:num w:numId="8" w16cid:durableId="1162547234">
    <w:abstractNumId w:val="27"/>
  </w:num>
  <w:num w:numId="9" w16cid:durableId="578373010">
    <w:abstractNumId w:val="45"/>
  </w:num>
  <w:num w:numId="10" w16cid:durableId="1082945277">
    <w:abstractNumId w:val="8"/>
  </w:num>
  <w:num w:numId="11" w16cid:durableId="1755780065">
    <w:abstractNumId w:val="22"/>
  </w:num>
  <w:num w:numId="12" w16cid:durableId="1965115138">
    <w:abstractNumId w:val="4"/>
  </w:num>
  <w:num w:numId="13" w16cid:durableId="870920408">
    <w:abstractNumId w:val="33"/>
  </w:num>
  <w:num w:numId="14" w16cid:durableId="50153444">
    <w:abstractNumId w:val="43"/>
  </w:num>
  <w:num w:numId="15" w16cid:durableId="753546857">
    <w:abstractNumId w:val="32"/>
  </w:num>
  <w:num w:numId="16" w16cid:durableId="424307729">
    <w:abstractNumId w:val="1"/>
  </w:num>
  <w:num w:numId="17" w16cid:durableId="1227566342">
    <w:abstractNumId w:val="12"/>
  </w:num>
  <w:num w:numId="18" w16cid:durableId="951744579">
    <w:abstractNumId w:val="20"/>
  </w:num>
  <w:num w:numId="19" w16cid:durableId="1090155665">
    <w:abstractNumId w:val="35"/>
  </w:num>
  <w:num w:numId="20" w16cid:durableId="204021939">
    <w:abstractNumId w:val="47"/>
  </w:num>
  <w:num w:numId="21" w16cid:durableId="1852601976">
    <w:abstractNumId w:val="34"/>
  </w:num>
  <w:num w:numId="22" w16cid:durableId="1888685643">
    <w:abstractNumId w:val="5"/>
  </w:num>
  <w:num w:numId="23" w16cid:durableId="768236759">
    <w:abstractNumId w:val="7"/>
  </w:num>
  <w:num w:numId="24" w16cid:durableId="2011175043">
    <w:abstractNumId w:val="46"/>
  </w:num>
  <w:num w:numId="25" w16cid:durableId="1101684069">
    <w:abstractNumId w:val="14"/>
  </w:num>
  <w:num w:numId="26" w16cid:durableId="383483465">
    <w:abstractNumId w:val="37"/>
  </w:num>
  <w:num w:numId="27" w16cid:durableId="39592898">
    <w:abstractNumId w:val="11"/>
  </w:num>
  <w:num w:numId="28" w16cid:durableId="471749880">
    <w:abstractNumId w:val="21"/>
  </w:num>
  <w:num w:numId="29" w16cid:durableId="1513837221">
    <w:abstractNumId w:val="28"/>
  </w:num>
  <w:num w:numId="30" w16cid:durableId="2027173096">
    <w:abstractNumId w:val="0"/>
  </w:num>
  <w:num w:numId="31" w16cid:durableId="825509350">
    <w:abstractNumId w:val="38"/>
  </w:num>
  <w:num w:numId="32" w16cid:durableId="867333547">
    <w:abstractNumId w:val="19"/>
  </w:num>
  <w:num w:numId="33" w16cid:durableId="1848784747">
    <w:abstractNumId w:val="42"/>
  </w:num>
  <w:num w:numId="34" w16cid:durableId="2054038939">
    <w:abstractNumId w:val="24"/>
  </w:num>
  <w:num w:numId="35" w16cid:durableId="1178929047">
    <w:abstractNumId w:val="30"/>
  </w:num>
  <w:num w:numId="36" w16cid:durableId="724910721">
    <w:abstractNumId w:val="6"/>
  </w:num>
  <w:num w:numId="37" w16cid:durableId="333531950">
    <w:abstractNumId w:val="40"/>
  </w:num>
  <w:num w:numId="38" w16cid:durableId="200166721">
    <w:abstractNumId w:val="16"/>
  </w:num>
  <w:num w:numId="39" w16cid:durableId="1785231077">
    <w:abstractNumId w:val="17"/>
  </w:num>
  <w:num w:numId="40" w16cid:durableId="695498397">
    <w:abstractNumId w:val="18"/>
  </w:num>
  <w:num w:numId="41" w16cid:durableId="558563610">
    <w:abstractNumId w:val="23"/>
  </w:num>
  <w:num w:numId="42" w16cid:durableId="574824809">
    <w:abstractNumId w:val="44"/>
  </w:num>
  <w:num w:numId="43" w16cid:durableId="114719565">
    <w:abstractNumId w:val="39"/>
  </w:num>
  <w:num w:numId="44" w16cid:durableId="1035080267">
    <w:abstractNumId w:val="10"/>
  </w:num>
  <w:num w:numId="45" w16cid:durableId="340739777">
    <w:abstractNumId w:val="49"/>
  </w:num>
  <w:num w:numId="46" w16cid:durableId="1273434489">
    <w:abstractNumId w:val="31"/>
  </w:num>
  <w:num w:numId="47" w16cid:durableId="1482575966">
    <w:abstractNumId w:val="2"/>
  </w:num>
  <w:num w:numId="48" w16cid:durableId="1843230978">
    <w:abstractNumId w:val="25"/>
  </w:num>
  <w:num w:numId="49" w16cid:durableId="186598127">
    <w:abstractNumId w:val="26"/>
  </w:num>
  <w:num w:numId="50" w16cid:durableId="954407649">
    <w:abstractNumId w:val="9"/>
  </w:num>
  <w:num w:numId="51" w16cid:durableId="2417646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6B46"/>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096A"/>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457F"/>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character" w:styleId="Emphasis">
    <w:name w:val="Emphasis"/>
    <w:basedOn w:val="DefaultParagraphFont"/>
    <w:uiPriority w:val="20"/>
    <w:qFormat/>
    <w:rsid w:val="00066B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0274572">
      <w:bodyDiv w:val="1"/>
      <w:marLeft w:val="0"/>
      <w:marRight w:val="0"/>
      <w:marTop w:val="0"/>
      <w:marBottom w:val="0"/>
      <w:divBdr>
        <w:top w:val="none" w:sz="0" w:space="0" w:color="auto"/>
        <w:left w:val="none" w:sz="0" w:space="0" w:color="auto"/>
        <w:bottom w:val="none" w:sz="0" w:space="0" w:color="auto"/>
        <w:right w:val="none" w:sz="0" w:space="0" w:color="auto"/>
      </w:divBdr>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9182636">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79884326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6533102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idca56705.2023.1009950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55/2024/4067721" TargetMode="External"/><Relationship Id="rId47" Type="http://schemas.openxmlformats.org/officeDocument/2006/relationships/hyperlink" Target="https://doi.org/10.1016/j.dajour.2023.100204"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easct59475.2023.10392502"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16/j.dib.2021.106908" TargetMode="External"/><Relationship Id="rId40" Type="http://schemas.openxmlformats.org/officeDocument/2006/relationships/hyperlink" Target="https://doi.org/10.1109/idicaiei61867.2024.10842901" TargetMode="External"/><Relationship Id="rId45" Type="http://schemas.openxmlformats.org/officeDocument/2006/relationships/hyperlink" Target="https://doi.org/10.1109/access.2023.3294700" TargetMode="External"/><Relationship Id="rId53" Type="http://schemas.openxmlformats.org/officeDocument/2006/relationships/hyperlink" Target="https://doi.org/10.1109/access.2024.3422319" TargetMode="External"/><Relationship Id="rId58" Type="http://schemas.openxmlformats.org/officeDocument/2006/relationships/hyperlink" Target="https://doi.org/10.48550/arxiv.2412.11826"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09/iceeie59078.2023.10334657" TargetMode="External"/><Relationship Id="rId48" Type="http://schemas.openxmlformats.org/officeDocument/2006/relationships/hyperlink" Target="https://doi.org/10.9734/ajrcos/2023/v16i3351" TargetMode="External"/><Relationship Id="rId56" Type="http://schemas.openxmlformats.org/officeDocument/2006/relationships/hyperlink" Target="https://doi.org/10.1109/cicn63059.2024.10847424" TargetMode="External"/><Relationship Id="rId8" Type="http://schemas.openxmlformats.org/officeDocument/2006/relationships/image" Target="media/image1.png"/><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07/s43926-022-00023-0" TargetMode="External"/><Relationship Id="rId46" Type="http://schemas.openxmlformats.org/officeDocument/2006/relationships/hyperlink" Target="https://doi.org/10.34315/apf1612023" TargetMode="External"/><Relationship Id="rId59" Type="http://schemas.openxmlformats.org/officeDocument/2006/relationships/hyperlink" Target="https://doi.org/10.1186/s40537-025-01187-6" TargetMode="External"/><Relationship Id="rId20" Type="http://schemas.openxmlformats.org/officeDocument/2006/relationships/image" Target="media/image12.png"/><Relationship Id="rId41" Type="http://schemas.openxmlformats.org/officeDocument/2006/relationships/hyperlink" Target="https://doi.org/10.1109/ictacs56270.2022.9988247" TargetMode="External"/><Relationship Id="rId54" Type="http://schemas.openxmlformats.org/officeDocument/2006/relationships/hyperlink" Target="https://doi.org/10.1109/iCACCESS61735.2024.104995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07/s40747-022-00647-3" TargetMode="External"/><Relationship Id="rId57" Type="http://schemas.openxmlformats.org/officeDocument/2006/relationships/hyperlink" Target="https://doi.org/10.1007/s10639-024-12704-0"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109/icrito56286.2022.9965023" TargetMode="External"/><Relationship Id="rId52" Type="http://schemas.openxmlformats.org/officeDocument/2006/relationships/hyperlink" Target="https://doi.org/10.1109/incacct65424.2025.11011419"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7194</TotalTime>
  <Pages>34</Pages>
  <Words>8582</Words>
  <Characters>48920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714</cp:revision>
  <dcterms:created xsi:type="dcterms:W3CDTF">2025-02-15T20:56:00Z</dcterms:created>
  <dcterms:modified xsi:type="dcterms:W3CDTF">2025-06-24T21:43:00Z</dcterms:modified>
</cp:coreProperties>
</file>