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Multilingual &amp; Custom Layout Specification</w:t>
      </w:r>
    </w:p>
    <w:p>
      <w:r>
        <w:t>English: Universal offline document conversion for Windows.</w:t>
      </w:r>
    </w:p>
    <w:p>
      <w:r>
        <w:t>Spanish: Conversión de documentos fuera de línea rápida y segura.</w:t>
      </w:r>
    </w:p>
    <w:p>
      <w:r>
        <w:t>German: Sichere und zuverlässige Offline-Dokumentenkonvertierung.</w:t>
      </w:r>
    </w:p>
    <w:p>
      <w:r>
        <w:t>Hindi: स्थानीय ऑफ़लाइन दस्तावेज़ रूपांतरण इंजन।</w:t>
      </w:r>
    </w:p>
    <w:p>
      <w:r>
        <w:t>Chinese: 本地离线文档转换引擎，保护用户隐私。</w:t>
      </w:r>
    </w:p>
    <w:p>
      <w:r>
        <w:t>Japanese: 安全なオフラインドキュメント変換エンジン。</w:t>
      </w:r>
    </w:p>
    <w:p>
      <w:r>
        <w:t>Symbols &amp; Math: α + β = γ, Δx / Δt, ∑(x_i) ≥ 0, 🔒 Privacy First.</w:t>
      </w:r>
    </w:p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