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480"/>
        <w:gridCol w:w="2880"/>
      </w:tblGrid>
      <w:tr>
        <w:tc>
          <w:tcPr>
            <w:tcW w:type="dxa" w:w="4680"/>
          </w:tcPr>
          <w:p>
            <w:pPr>
              <w:jc w:val="left"/>
            </w:pPr>
            <w:r>
              <w:drawing>
                <wp:inline xmlns:a="http://schemas.openxmlformats.org/drawingml/2006/main" xmlns:pic="http://schemas.openxmlformats.org/drawingml/2006/picture">
                  <wp:extent cx="2926080" cy="1009722"/>
                  <wp:docPr id="1" name="Picture 1"/>
                  <wp:cNvGraphicFramePr>
                    <a:graphicFrameLocks noChangeAspect="1"/>
                  </wp:cNvGraphicFramePr>
                  <a:graphic>
                    <a:graphicData uri="http://schemas.openxmlformats.org/drawingml/2006/picture">
                      <pic:pic>
                        <pic:nvPicPr>
                          <pic:cNvPr id="0" name="logo_1.jpeg"/>
                          <pic:cNvPicPr/>
                        </pic:nvPicPr>
                        <pic:blipFill>
                          <a:blip r:embed="rId9"/>
                          <a:stretch>
                            <a:fillRect/>
                          </a:stretch>
                        </pic:blipFill>
                        <pic:spPr>
                          <a:xfrm>
                            <a:off x="0" y="0"/>
                            <a:ext cx="2926080" cy="1009722"/>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1371600" cy="749520"/>
                  <wp:docPr id="2" name="Picture 2"/>
                  <wp:cNvGraphicFramePr>
                    <a:graphicFrameLocks noChangeAspect="1"/>
                  </wp:cNvGraphicFramePr>
                  <a:graphic>
                    <a:graphicData uri="http://schemas.openxmlformats.org/drawingml/2006/picture">
                      <pic:pic>
                        <pic:nvPicPr>
                          <pic:cNvPr id="0" name="logo_2.jpeg"/>
                          <pic:cNvPicPr/>
                        </pic:nvPicPr>
                        <pic:blipFill>
                          <a:blip r:embed="rId10"/>
                          <a:stretch>
                            <a:fillRect/>
                          </a:stretch>
                        </pic:blipFill>
                        <pic:spPr>
                          <a:xfrm>
                            <a:off x="0" y="0"/>
                            <a:ext cx="1371600" cy="749520"/>
                          </a:xfrm>
                          <a:prstGeom prst="rect"/>
                        </pic:spPr>
                      </pic:pic>
                    </a:graphicData>
                  </a:graphic>
                </wp:inline>
              </w:drawing>
            </w:r>
          </w:p>
        </w:tc>
      </w:tr>
    </w:tbl>
    <w:p>
      <w:pPr>
        <w:spacing w:before="480"/>
      </w:pPr>
    </w:p>
    <w:p>
      <w:pPr>
        <w:jc w:val="center"/>
      </w:pPr>
      <w:r>
        <w:rPr>
          <w:rFonts w:ascii="Arial" w:hAnsi="Arial"/>
          <w:b/>
          <w:color w:val="11385B"/>
          <w:sz w:val="36"/>
        </w:rPr>
        <w:t>MINI PROJECT REPORT</w:t>
        <w:br/>
        <w:br/>
        <w:t>Project Phase – 1 REPORT</w:t>
        <w:br/>
      </w:r>
    </w:p>
    <w:p>
      <w:pPr>
        <w:jc w:val="center"/>
      </w:pPr>
      <w:r>
        <w:rPr>
          <w:rFonts w:ascii="Arial" w:hAnsi="Arial"/>
          <w:b/>
          <w:color w:val="B91C1C"/>
          <w:sz w:val="44"/>
        </w:rPr>
        <w:t>AI-Based Load Balancing System</w:t>
        <w:br/>
      </w:r>
      <w:r>
        <w:rPr>
          <w:rFonts w:ascii="Arial" w:hAnsi="Arial"/>
          <w:i/>
          <w:color w:val="64748B"/>
          <w:sz w:val="24"/>
        </w:rPr>
        <w:t>An Adaptive Layer-7 Reverse Proxy with Supervised Random Forest Latency Regression</w:t>
      </w:r>
    </w:p>
    <w:p>
      <w:pPr>
        <w:spacing w:before="480"/>
        <w:jc w:val="center"/>
      </w:pPr>
      <w:r>
        <w:rPr>
          <w:rFonts w:ascii="Arial" w:hAnsi="Arial"/>
          <w:b/>
          <w:sz w:val="26"/>
        </w:rPr>
        <w:t>Submitted by</w:t>
        <w:br/>
        <w:br/>
      </w:r>
      <w:r>
        <w:rPr>
          <w:rFonts w:ascii="Arial" w:hAnsi="Arial"/>
          <w:b/>
          <w:color w:val="11385B"/>
          <w:sz w:val="28"/>
        </w:rPr>
        <w:t>Krishna Modi [202307010006]</w:t>
        <w:br/>
        <w:br/>
      </w:r>
      <w:r>
        <w:rPr>
          <w:rFonts w:ascii="Arial" w:hAnsi="Arial"/>
          <w:b/>
          <w:sz w:val="24"/>
        </w:rPr>
        <w:t>in partial fulfilment for the award of the degree of</w:t>
        <w:br/>
        <w:br/>
        <w:t>BACHELOR OF TECHNOLOGY</w:t>
        <w:br/>
        <w:br/>
        <w:t>COMPUTER SCIENCE ENGINEERING</w:t>
        <w:br/>
        <w:br/>
      </w:r>
      <w:r>
        <w:rPr>
          <w:rFonts w:ascii="Arial" w:hAnsi="Arial"/>
          <w:b/>
          <w:color w:val="B91C1C"/>
          <w:sz w:val="26"/>
        </w:rPr>
        <w:t>Project Mentor</w:t>
        <w:br/>
        <w:br/>
        <w:t>Ms. Pragya Vats</w:t>
        <w:br/>
        <w:br/>
      </w:r>
    </w:p>
    <w:p>
      <w:pPr>
        <w:jc w:val="center"/>
      </w:pPr>
      <w:r>
        <w:rPr>
          <w:rFonts w:ascii="Arial" w:hAnsi="Arial"/>
          <w:b/>
          <w:color w:val="11385B"/>
          <w:sz w:val="24"/>
        </w:rPr>
        <w:t>UNITEDWORLD INSTITUTE OF TECHNOLOGY</w:t>
        <w:br/>
        <w:t>KARNAVATI UNIVERSITY</w:t>
        <w:br/>
        <w:t>Uvarsad, Gandhinagar, Gujarat – 382422</w:t>
        <w:br/>
        <w:br/>
        <w:t>July – November, 2026</w:t>
      </w:r>
    </w:p>
    <w:p>
      <w:r>
        <w:br w:type="page"/>
      </w:r>
    </w:p>
    <w:p>
      <w:pPr>
        <w:spacing w:after="280"/>
      </w:pPr>
      <w:r>
        <w:rPr>
          <w:rFonts w:ascii="Arial" w:hAnsi="Arial"/>
          <w:b/>
          <w:color w:val="11385B"/>
          <w:sz w:val="40"/>
        </w:rPr>
        <w:t>Table of Contents</w:t>
      </w:r>
    </w:p>
    <w:tbl>
      <w:tblPr>
        <w:tblW w:type="auto" w:w="0"/>
        <w:jc w:val="center"/>
        <w:tblLayout w:type="fixed"/>
        <w:tblLook w:firstColumn="1" w:firstRow="1" w:lastColumn="0" w:lastRow="0" w:noHBand="0" w:noVBand="1" w:val="04A0"/>
      </w:tblPr>
      <w:tblGrid>
        <w:gridCol w:w="7920"/>
        <w:gridCol w:w="1440"/>
      </w:tblGrid>
      <w:tr>
        <w:tc>
          <w:tcPr>
            <w:tcW w:type="dxa" w:w="4680"/>
          </w:tcPr>
          <w:p>
            <w:pPr>
              <w:spacing w:after="60"/>
            </w:pPr>
            <w:r>
              <w:rPr>
                <w:rFonts w:ascii="Arial" w:hAnsi="Arial"/>
                <w:b/>
                <w:color w:val="11385B"/>
                <w:sz w:val="22"/>
              </w:rPr>
              <w:t>1. Abstract</w:t>
            </w:r>
          </w:p>
        </w:tc>
        <w:tc>
          <w:tcPr>
            <w:tcW w:type="dxa" w:w="4680"/>
          </w:tcPr>
          <w:p>
            <w:pPr>
              <w:spacing w:after="60"/>
              <w:jc w:val="right"/>
            </w:pPr>
            <w:r>
              <w:rPr>
                <w:rFonts w:ascii="Arial" w:hAnsi="Arial"/>
                <w:sz w:val="22"/>
              </w:rPr>
              <w:t>3</w:t>
            </w:r>
          </w:p>
        </w:tc>
      </w:tr>
      <w:tr>
        <w:tc>
          <w:tcPr>
            <w:tcW w:type="dxa" w:w="4680"/>
          </w:tcPr>
          <w:p>
            <w:pPr>
              <w:spacing w:after="60"/>
            </w:pPr>
            <w:r>
              <w:rPr>
                <w:rFonts w:ascii="Arial" w:hAnsi="Arial"/>
                <w:b/>
                <w:color w:val="11385B"/>
                <w:sz w:val="22"/>
              </w:rPr>
              <w:t>2. Introduction</w:t>
            </w:r>
          </w:p>
        </w:tc>
        <w:tc>
          <w:tcPr>
            <w:tcW w:type="dxa" w:w="4680"/>
          </w:tcPr>
          <w:p>
            <w:pPr>
              <w:spacing w:after="60"/>
              <w:jc w:val="right"/>
            </w:pPr>
            <w:r>
              <w:rPr>
                <w:rFonts w:ascii="Arial" w:hAnsi="Arial"/>
                <w:sz w:val="22"/>
              </w:rPr>
              <w:t>4</w:t>
            </w:r>
          </w:p>
        </w:tc>
      </w:tr>
      <w:tr>
        <w:tc>
          <w:tcPr>
            <w:tcW w:type="dxa" w:w="4680"/>
          </w:tcPr>
          <w:p>
            <w:pPr>
              <w:spacing w:after="60"/>
            </w:pPr>
            <w:r>
              <w:rPr>
                <w:rFonts w:ascii="Arial" w:hAnsi="Arial"/>
                <w:sz w:val="22"/>
              </w:rPr>
              <w:t xml:space="preserve">    a) Problem Statement</w:t>
            </w:r>
          </w:p>
        </w:tc>
        <w:tc>
          <w:tcPr>
            <w:tcW w:type="dxa" w:w="4680"/>
          </w:tcPr>
          <w:p>
            <w:pPr>
              <w:spacing w:after="60"/>
              <w:jc w:val="right"/>
            </w:pPr>
            <w:r>
              <w:rPr>
                <w:rFonts w:ascii="Arial" w:hAnsi="Arial"/>
                <w:sz w:val="22"/>
              </w:rPr>
              <w:t>4</w:t>
            </w:r>
          </w:p>
        </w:tc>
      </w:tr>
      <w:tr>
        <w:tc>
          <w:tcPr>
            <w:tcW w:type="dxa" w:w="4680"/>
          </w:tcPr>
          <w:p>
            <w:pPr>
              <w:spacing w:after="60"/>
            </w:pPr>
            <w:r>
              <w:rPr>
                <w:rFonts w:ascii="Arial" w:hAnsi="Arial"/>
                <w:sz w:val="22"/>
              </w:rPr>
              <w:t xml:space="preserve">    b) Aim and Objectives</w:t>
            </w:r>
          </w:p>
        </w:tc>
        <w:tc>
          <w:tcPr>
            <w:tcW w:type="dxa" w:w="4680"/>
          </w:tcPr>
          <w:p>
            <w:pPr>
              <w:spacing w:after="60"/>
              <w:jc w:val="right"/>
            </w:pPr>
            <w:r>
              <w:rPr>
                <w:rFonts w:ascii="Arial" w:hAnsi="Arial"/>
                <w:sz w:val="22"/>
              </w:rPr>
              <w:t>5</w:t>
            </w:r>
          </w:p>
        </w:tc>
      </w:tr>
      <w:tr>
        <w:tc>
          <w:tcPr>
            <w:tcW w:type="dxa" w:w="4680"/>
          </w:tcPr>
          <w:p>
            <w:pPr>
              <w:spacing w:after="60"/>
            </w:pPr>
            <w:r>
              <w:rPr>
                <w:rFonts w:ascii="Arial" w:hAnsi="Arial"/>
                <w:sz w:val="22"/>
              </w:rPr>
              <w:t xml:space="preserve">    c) Scope of the Project</w:t>
            </w:r>
          </w:p>
        </w:tc>
        <w:tc>
          <w:tcPr>
            <w:tcW w:type="dxa" w:w="4680"/>
          </w:tcPr>
          <w:p>
            <w:pPr>
              <w:spacing w:after="60"/>
              <w:jc w:val="right"/>
            </w:pPr>
            <w:r>
              <w:rPr>
                <w:rFonts w:ascii="Arial" w:hAnsi="Arial"/>
                <w:sz w:val="22"/>
              </w:rPr>
              <w:t>5</w:t>
            </w:r>
          </w:p>
        </w:tc>
      </w:tr>
      <w:tr>
        <w:tc>
          <w:tcPr>
            <w:tcW w:type="dxa" w:w="4680"/>
          </w:tcPr>
          <w:p>
            <w:pPr>
              <w:spacing w:after="60"/>
            </w:pPr>
            <w:r>
              <w:rPr>
                <w:rFonts w:ascii="Arial" w:hAnsi="Arial"/>
                <w:b/>
                <w:color w:val="11385B"/>
                <w:sz w:val="22"/>
              </w:rPr>
              <w:t>3. System Requirements and Design</w:t>
            </w:r>
          </w:p>
        </w:tc>
        <w:tc>
          <w:tcPr>
            <w:tcW w:type="dxa" w:w="4680"/>
          </w:tcPr>
          <w:p>
            <w:pPr>
              <w:spacing w:after="60"/>
              <w:jc w:val="right"/>
            </w:pPr>
            <w:r>
              <w:rPr>
                <w:rFonts w:ascii="Arial" w:hAnsi="Arial"/>
                <w:sz w:val="22"/>
              </w:rPr>
              <w:t>6</w:t>
            </w:r>
          </w:p>
        </w:tc>
      </w:tr>
      <w:tr>
        <w:tc>
          <w:tcPr>
            <w:tcW w:type="dxa" w:w="4680"/>
          </w:tcPr>
          <w:p>
            <w:pPr>
              <w:spacing w:after="60"/>
            </w:pPr>
            <w:r>
              <w:rPr>
                <w:rFonts w:ascii="Arial" w:hAnsi="Arial"/>
                <w:sz w:val="22"/>
              </w:rPr>
              <w:t xml:space="preserve">    a) Hardware Requirements</w:t>
            </w:r>
          </w:p>
        </w:tc>
        <w:tc>
          <w:tcPr>
            <w:tcW w:type="dxa" w:w="4680"/>
          </w:tcPr>
          <w:p>
            <w:pPr>
              <w:spacing w:after="60"/>
              <w:jc w:val="right"/>
            </w:pPr>
            <w:r>
              <w:rPr>
                <w:rFonts w:ascii="Arial" w:hAnsi="Arial"/>
                <w:sz w:val="22"/>
              </w:rPr>
              <w:t>6</w:t>
            </w:r>
          </w:p>
        </w:tc>
      </w:tr>
      <w:tr>
        <w:tc>
          <w:tcPr>
            <w:tcW w:type="dxa" w:w="4680"/>
          </w:tcPr>
          <w:p>
            <w:pPr>
              <w:spacing w:after="60"/>
            </w:pPr>
            <w:r>
              <w:rPr>
                <w:rFonts w:ascii="Arial" w:hAnsi="Arial"/>
                <w:sz w:val="22"/>
              </w:rPr>
              <w:t xml:space="preserve">    b) Software Requirements</w:t>
            </w:r>
          </w:p>
        </w:tc>
        <w:tc>
          <w:tcPr>
            <w:tcW w:type="dxa" w:w="4680"/>
          </w:tcPr>
          <w:p>
            <w:pPr>
              <w:spacing w:after="60"/>
              <w:jc w:val="right"/>
            </w:pPr>
            <w:r>
              <w:rPr>
                <w:rFonts w:ascii="Arial" w:hAnsi="Arial"/>
                <w:sz w:val="22"/>
              </w:rPr>
              <w:t>6</w:t>
            </w:r>
          </w:p>
        </w:tc>
      </w:tr>
      <w:tr>
        <w:tc>
          <w:tcPr>
            <w:tcW w:type="dxa" w:w="4680"/>
          </w:tcPr>
          <w:p>
            <w:pPr>
              <w:spacing w:after="60"/>
            </w:pPr>
            <w:r>
              <w:rPr>
                <w:rFonts w:ascii="Arial" w:hAnsi="Arial"/>
                <w:sz w:val="22"/>
              </w:rPr>
              <w:t xml:space="preserve">    c) System Architecture</w:t>
            </w:r>
          </w:p>
        </w:tc>
        <w:tc>
          <w:tcPr>
            <w:tcW w:type="dxa" w:w="4680"/>
          </w:tcPr>
          <w:p>
            <w:pPr>
              <w:spacing w:after="60"/>
              <w:jc w:val="right"/>
            </w:pPr>
            <w:r>
              <w:rPr>
                <w:rFonts w:ascii="Arial" w:hAnsi="Arial"/>
                <w:sz w:val="22"/>
              </w:rPr>
              <w:t>7</w:t>
            </w:r>
          </w:p>
        </w:tc>
      </w:tr>
      <w:tr>
        <w:tc>
          <w:tcPr>
            <w:tcW w:type="dxa" w:w="4680"/>
          </w:tcPr>
          <w:p>
            <w:pPr>
              <w:spacing w:after="60"/>
            </w:pPr>
            <w:r>
              <w:rPr>
                <w:rFonts w:ascii="Arial" w:hAnsi="Arial"/>
                <w:sz w:val="22"/>
              </w:rPr>
              <w:t xml:space="preserve">    d) Diagrams &amp; Mathematical Formulations</w:t>
            </w:r>
          </w:p>
        </w:tc>
        <w:tc>
          <w:tcPr>
            <w:tcW w:type="dxa" w:w="4680"/>
          </w:tcPr>
          <w:p>
            <w:pPr>
              <w:spacing w:after="60"/>
              <w:jc w:val="right"/>
            </w:pPr>
            <w:r>
              <w:rPr>
                <w:rFonts w:ascii="Arial" w:hAnsi="Arial"/>
                <w:sz w:val="22"/>
              </w:rPr>
              <w:t>8</w:t>
            </w:r>
          </w:p>
        </w:tc>
      </w:tr>
      <w:tr>
        <w:tc>
          <w:tcPr>
            <w:tcW w:type="dxa" w:w="4680"/>
          </w:tcPr>
          <w:p>
            <w:pPr>
              <w:spacing w:after="60"/>
            </w:pPr>
            <w:r>
              <w:rPr>
                <w:rFonts w:ascii="Arial" w:hAnsi="Arial"/>
                <w:b/>
                <w:color w:val="11385B"/>
                <w:sz w:val="22"/>
              </w:rPr>
              <w:t>4. Implementation</w:t>
            </w:r>
          </w:p>
        </w:tc>
        <w:tc>
          <w:tcPr>
            <w:tcW w:type="dxa" w:w="4680"/>
          </w:tcPr>
          <w:p>
            <w:pPr>
              <w:spacing w:after="60"/>
              <w:jc w:val="right"/>
            </w:pPr>
            <w:r>
              <w:rPr>
                <w:rFonts w:ascii="Arial" w:hAnsi="Arial"/>
                <w:sz w:val="22"/>
              </w:rPr>
              <w:t>10</w:t>
            </w:r>
          </w:p>
        </w:tc>
      </w:tr>
      <w:tr>
        <w:tc>
          <w:tcPr>
            <w:tcW w:type="dxa" w:w="4680"/>
          </w:tcPr>
          <w:p>
            <w:pPr>
              <w:spacing w:after="60"/>
            </w:pPr>
            <w:r>
              <w:rPr>
                <w:rFonts w:ascii="Arial" w:hAnsi="Arial"/>
                <w:sz w:val="22"/>
              </w:rPr>
              <w:t xml:space="preserve">    a) Technologies Used</w:t>
            </w:r>
          </w:p>
        </w:tc>
        <w:tc>
          <w:tcPr>
            <w:tcW w:type="dxa" w:w="4680"/>
          </w:tcPr>
          <w:p>
            <w:pPr>
              <w:spacing w:after="60"/>
              <w:jc w:val="right"/>
            </w:pPr>
            <w:r>
              <w:rPr>
                <w:rFonts w:ascii="Arial" w:hAnsi="Arial"/>
                <w:sz w:val="22"/>
              </w:rPr>
              <w:t>10</w:t>
            </w:r>
          </w:p>
        </w:tc>
      </w:tr>
      <w:tr>
        <w:tc>
          <w:tcPr>
            <w:tcW w:type="dxa" w:w="4680"/>
          </w:tcPr>
          <w:p>
            <w:pPr>
              <w:spacing w:after="60"/>
            </w:pPr>
            <w:r>
              <w:rPr>
                <w:rFonts w:ascii="Arial" w:hAnsi="Arial"/>
                <w:sz w:val="22"/>
              </w:rPr>
              <w:t xml:space="preserve">    b) Screenshots, Operational Outputs &amp; Benchmark Results</w:t>
            </w:r>
          </w:p>
        </w:tc>
        <w:tc>
          <w:tcPr>
            <w:tcW w:type="dxa" w:w="4680"/>
          </w:tcPr>
          <w:p>
            <w:pPr>
              <w:spacing w:after="60"/>
              <w:jc w:val="right"/>
            </w:pPr>
            <w:r>
              <w:rPr>
                <w:rFonts w:ascii="Arial" w:hAnsi="Arial"/>
                <w:sz w:val="22"/>
              </w:rPr>
              <w:t>12</w:t>
            </w:r>
          </w:p>
        </w:tc>
      </w:tr>
      <w:tr>
        <w:tc>
          <w:tcPr>
            <w:tcW w:type="dxa" w:w="4680"/>
          </w:tcPr>
          <w:p>
            <w:pPr>
              <w:spacing w:after="60"/>
            </w:pPr>
            <w:r>
              <w:rPr>
                <w:rFonts w:ascii="Arial" w:hAnsi="Arial"/>
                <w:b/>
                <w:color w:val="11385B"/>
                <w:sz w:val="22"/>
              </w:rPr>
              <w:t>5. Conclusion</w:t>
            </w:r>
          </w:p>
        </w:tc>
        <w:tc>
          <w:tcPr>
            <w:tcW w:type="dxa" w:w="4680"/>
          </w:tcPr>
          <w:p>
            <w:pPr>
              <w:spacing w:after="60"/>
              <w:jc w:val="right"/>
            </w:pPr>
            <w:r>
              <w:rPr>
                <w:rFonts w:ascii="Arial" w:hAnsi="Arial"/>
                <w:sz w:val="22"/>
              </w:rPr>
              <w:t>15</w:t>
            </w:r>
          </w:p>
        </w:tc>
      </w:tr>
      <w:tr>
        <w:tc>
          <w:tcPr>
            <w:tcW w:type="dxa" w:w="4680"/>
          </w:tcPr>
          <w:p>
            <w:pPr>
              <w:spacing w:after="60"/>
            </w:pPr>
            <w:r>
              <w:rPr>
                <w:rFonts w:ascii="Arial" w:hAnsi="Arial"/>
                <w:b/>
                <w:color w:val="11385B"/>
                <w:sz w:val="22"/>
              </w:rPr>
              <w:t>6. Future Scope</w:t>
            </w:r>
          </w:p>
        </w:tc>
        <w:tc>
          <w:tcPr>
            <w:tcW w:type="dxa" w:w="4680"/>
          </w:tcPr>
          <w:p>
            <w:pPr>
              <w:spacing w:after="60"/>
              <w:jc w:val="right"/>
            </w:pPr>
            <w:r>
              <w:rPr>
                <w:rFonts w:ascii="Arial" w:hAnsi="Arial"/>
                <w:sz w:val="22"/>
              </w:rPr>
              <w:t>16</w:t>
            </w:r>
          </w:p>
        </w:tc>
      </w:tr>
      <w:tr>
        <w:tc>
          <w:tcPr>
            <w:tcW w:type="dxa" w:w="4680"/>
          </w:tcPr>
          <w:p>
            <w:pPr>
              <w:spacing w:after="60"/>
            </w:pPr>
            <w:r>
              <w:rPr>
                <w:rFonts w:ascii="Arial" w:hAnsi="Arial"/>
                <w:b/>
                <w:color w:val="11385B"/>
                <w:sz w:val="22"/>
              </w:rPr>
              <w:t>References &amp; Syllabus Mapping</w:t>
            </w:r>
          </w:p>
        </w:tc>
        <w:tc>
          <w:tcPr>
            <w:tcW w:type="dxa" w:w="4680"/>
          </w:tcPr>
          <w:p>
            <w:pPr>
              <w:spacing w:after="60"/>
              <w:jc w:val="right"/>
            </w:pPr>
            <w:r>
              <w:rPr>
                <w:rFonts w:ascii="Arial" w:hAnsi="Arial"/>
                <w:sz w:val="22"/>
              </w:rPr>
              <w:t>17</w:t>
            </w:r>
          </w:p>
        </w:tc>
      </w:tr>
    </w:tbl>
    <w:p>
      <w:r>
        <w:br w:type="page"/>
      </w:r>
    </w:p>
    <w:p>
      <w:pPr>
        <w:pStyle w:val="Heading1"/>
      </w:pPr>
      <w:r>
        <w:rPr>
          <w:rFonts w:ascii="Arial" w:hAnsi="Arial"/>
          <w:b/>
          <w:color w:val="11385B"/>
          <w:sz w:val="32"/>
        </w:rPr>
        <w:t>1. Abstract</w:t>
      </w:r>
    </w:p>
    <w:p>
      <w:pPr>
        <w:spacing w:line="312" w:lineRule="auto" w:after="240"/>
      </w:pPr>
      <w:r>
        <w:t>In modern cloud infrastructures and microservice architectures, load balancing is the quintessential mechanism ensuring scalability, high availability, and optimal resource utilization. Conventional load-balancing algorithms—such as Round Robin, Weighted Round Robin, and Least Connections—rely on deterministic cycling or instantaneous connection counters. However, these heuristics exhibit severe performance degradation in heterogeneous server environments where backend nodes possess asymmetric compute capabilities, varying base latencies, or suffer from dynamic background stalls (the 'straggler node' problem). Under static cyclic routing, even a single lagging backend inflates cluster-wide tail latency (P95/P99), causing severe SLA breaches.</w:t>
        <w:br/>
        <w:br/>
        <w:t>This project presents an intelligent, production-ready Layer-7 HTTP reverse proxy that integrates supervised machine learning to perform predictive latency-based routing. Built with Python 3.11, FastAPI, and Scikit-Learn, the proxy continuously samples real-time multi-variate telemetry from candidate backend nodes via an autonomous 15-second background probing daemon. An ensemble Random Forest Regressor evaluates an 8-dimensional feature vector—encompassing CPU utilization, memory pressure, active in-flight requests, Exponentially Weighted Moving Average (EWMA) latency, network round-trip time (RTT), node capacity weight, error rates, and request workload complexity classes (light, normal, heavy). By predicting exact request execution latency prior to routing, the load balancer steers incoming traffic dynamically to the optimal backend while actively avoiding degraded stragglers.</w:t>
        <w:br/>
        <w:br/>
        <w:t>To guarantee zero downtime, the architecture embeds a strict fallback circuit breaker: if model inference exceeds timeout bounds or encounters invalid telemetry, routing automatically degrades to Least Connections in less than 0.2 milliseconds. Empirical head-to-head benchmarking across a 6-container Docker Compose cluster demonstrates that AI Latency routing achieves a 63.0% reduction in P95 tail latency (27.50 ms vs 74.37 ms for Round Robin) and 100% straggler avoidance. A responsive React 19 operational cockpit provides real-time SVG packet visualization, inline latency trend sparklines, feature importance attribution, and automated 4-way comparative shootouts, offering a rigorous, complete academic solution for advanced Computer Networks evaluation.</w:t>
      </w:r>
    </w:p>
    <w:p>
      <w:r>
        <w:br w:type="page"/>
      </w:r>
    </w:p>
    <w:p>
      <w:pPr>
        <w:pStyle w:val="Heading1"/>
      </w:pPr>
      <w:r>
        <w:rPr>
          <w:rFonts w:ascii="Arial" w:hAnsi="Arial"/>
          <w:b/>
          <w:color w:val="11385B"/>
          <w:sz w:val="32"/>
        </w:rPr>
        <w:t>2. Introduction</w:t>
      </w:r>
    </w:p>
    <w:p>
      <w:pPr>
        <w:spacing w:line="300" w:lineRule="auto" w:after="200"/>
      </w:pPr>
      <w:r>
        <w:t>Modern Internet communication relies on the client-server paradigm orchestrated across distributed web server clusters. As web traffic surges, single server instances fail due to socket exhaustion, memory limits, and CPU saturation. To distribute this workload, Load Balancers operate at Layer 4 (Transport layer, TCP/UDP port hashing) or Layer 7 (Application layer, HTTP/HTTPS reverse proxying). Layer-7 proxies are uniquely capable of inspecting application-layer headers, request methods, and URI parameters, enabling sophisticated routing decisions.</w:t>
      </w:r>
    </w:p>
    <w:p>
      <w:pPr>
        <w:pStyle w:val="Heading2"/>
      </w:pPr>
      <w:r>
        <w:rPr>
          <w:rFonts w:ascii="Arial" w:hAnsi="Arial"/>
          <w:b/>
          <w:color w:val="B91C1C"/>
          <w:sz w:val="26"/>
        </w:rPr>
        <w:t>a) Problem Statement</w:t>
      </w:r>
    </w:p>
    <w:p>
      <w:pPr>
        <w:spacing w:line="300" w:lineRule="auto" w:after="200"/>
      </w:pPr>
      <w:r>
        <w:t>Traditional load balancing techniques assume that all servers within a cluster are either identical (homogeneity) or have static, well-defined capacity ratios (Weighted Round Robin). In practical production deployments, however, cloud servers suffer from:</w:t>
        <w:br/>
        <w:t>1. Asymmetric hardware tiers (e.g., fast compute instances mixed with legacy or burstable CPU instances).</w:t>
        <w:br/>
        <w:t>2. Dynamic multi-tenant interference (noisy neighbors, JVM garbage collection pauses, or database lock contention).</w:t>
        <w:br/>
        <w:t>3. Variable request payload complexity (a simple static asset request requires 5ms, while a complex analytical report requires 40ms).</w:t>
        <w:br/>
        <w:br/>
        <w:t>When static algorithms such as Round Robin cycle blindly through servers, they allocate equal traffic volume to both fast servers (Worker A, 15ms delay) and slow straggler servers (Worker B, 60ms delay). Consequently, requests queue up on the slow server, inflating the tail latency (P95 and P99 percentiles). Because the total user experience in distributed systems is bound by the slowest response, this disparity produces unacceptable SLA violations.</w:t>
      </w:r>
    </w:p>
    <w:p>
      <w:pPr>
        <w:pStyle w:val="Heading2"/>
      </w:pPr>
      <w:r>
        <w:rPr>
          <w:rFonts w:ascii="Arial" w:hAnsi="Arial"/>
          <w:b/>
          <w:color w:val="B91C1C"/>
          <w:sz w:val="26"/>
        </w:rPr>
        <w:t>b) Aim and Objectives</w:t>
      </w:r>
    </w:p>
    <w:p>
      <w:pPr>
        <w:spacing w:line="300" w:lineRule="auto" w:after="200"/>
      </w:pPr>
      <w:r>
        <w:t>Aim:</w:t>
        <w:br/>
        <w:t>To architect, implement, deploy, and benchmark an intelligent Layer-7 Application Reverse Proxy that leverages supervised machine learning to continuously observe node health telemetry, predict execution latency, and eliminate tail latency stalls in heterogeneous web server fleets.</w:t>
        <w:br/>
        <w:br/>
        <w:t>Key Objectives:</w:t>
        <w:br/>
        <w:t>• Objective 1 (Autonomous Telemetry Engine): Build an asynchronous 15-second background probing daemon that gathers real-time CPU, RAM, active connections, network RTT, and EWMA latency without manual polling.</w:t>
        <w:br/>
        <w:t>• Objective 2 (Machine Learning Latency Regression): Train a Scikit-Learn RandomForestRegressor ensemble on historical decision data across 8 distinct telemetry features to forecast backend service latency.</w:t>
        <w:br/>
        <w:t>• Objective 3 (Safe Fallback &amp; High Availability): Implement an automatic circuit-breaker ensuring seamless zero-downtime degradation to Least Connections if ML inference is delayed or unavailable.</w:t>
        <w:br/>
        <w:t>• Objective 4 (Empirical Head-to-Head Benchmarking): Construct an automated 4-way shootout comparator testing Round Robin, Weighted Round Robin, Least Connections, and AI Latency under identical synthetic workloads.</w:t>
        <w:br/>
        <w:t>• Objective 5 (Operational HUD &amp; Explainability): Create a real-time web cockpit with animated SVG packet paths, live latency sparklines, feature importance rankings, and decision inspection.</w:t>
      </w:r>
    </w:p>
    <w:p>
      <w:pPr>
        <w:pStyle w:val="Heading2"/>
      </w:pPr>
      <w:r>
        <w:rPr>
          <w:rFonts w:ascii="Arial" w:hAnsi="Arial"/>
          <w:b/>
          <w:color w:val="B91C1C"/>
          <w:sz w:val="26"/>
        </w:rPr>
        <w:t>c) Scope of the Project</w:t>
      </w:r>
    </w:p>
    <w:p>
      <w:pPr>
        <w:spacing w:line="300" w:lineRule="auto" w:after="200"/>
      </w:pPr>
      <w:r>
        <w:t>The project encompasses a full-stack, production-grade implementation orchestrated across 6 Docker containers:</w:t>
        <w:br/>
        <w:t>• Control Plane &amp; Reverse Proxy: FastAPI service exposing RESTful routing endpoints (/api/v1/route), background health workers, and ML lifecycle APIs.</w:t>
        <w:br/>
        <w:t>• Worker Fleet: 3 isolated Uvicorn backend instances configured with controlled hardware delays (Worker A: 15ms base delay, 2x weight; Worker B: 60ms base delay, 1x weight; Worker C: 30ms base delay, 1x weight).</w:t>
        <w:br/>
        <w:t>• Database &amp; Persistence: PostgreSQL 16 Alpine storing telemetry observations, model artifacts, and complete decision audit trails.</w:t>
        <w:br/>
        <w:t>• Frontend Cockpit: Vite-powered React 19 single-page application served via an Nginx reverse proxy on port 5173.</w:t>
        <w:br/>
        <w:t>• Test Verification: A suite of 26 passing Pytest unit and integration tests certifying contract compliance, security tokens, and fallback semantics.</w:t>
      </w:r>
    </w:p>
    <w:p>
      <w:r>
        <w:br w:type="page"/>
      </w:r>
    </w:p>
    <w:p>
      <w:pPr>
        <w:pStyle w:val="Heading1"/>
      </w:pPr>
      <w:r>
        <w:rPr>
          <w:rFonts w:ascii="Arial" w:hAnsi="Arial"/>
          <w:b/>
          <w:color w:val="11385B"/>
          <w:sz w:val="32"/>
        </w:rPr>
        <w:t>3. System Requirements and Design</w:t>
      </w:r>
    </w:p>
    <w:p>
      <w:pPr>
        <w:pStyle w:val="Heading2"/>
      </w:pPr>
      <w:r>
        <w:rPr>
          <w:rFonts w:ascii="Arial" w:hAnsi="Arial"/>
          <w:b/>
          <w:color w:val="B91C1C"/>
          <w:sz w:val="26"/>
        </w:rPr>
        <w:t>a) Hardware Requirements</w:t>
      </w:r>
    </w:p>
    <w:p>
      <w:pPr>
        <w:spacing w:line="300" w:lineRule="auto" w:after="200"/>
      </w:pPr>
      <w:r>
        <w:t>• Processor: Multi-core x86_64 or ARM64 CPU (minimum 4 physical cores recommended for concurrent worker emulation).</w:t>
        <w:br/>
        <w:t>• Memory (RAM): Minimum 8 GB (16 GB recommended for concurrent Docker container virtualization and Scikit-Learn training).</w:t>
        <w:br/>
        <w:t>• Storage: Minimum 10 GB free solid-state storage (SSD) for Docker image layers and PostgreSQL transaction logs.</w:t>
        <w:br/>
        <w:t>• Network Interface: Standard Ethernet / Wi-Fi loopback adapter supporting local bridge virtualization (127.0.0.1).</w:t>
      </w:r>
    </w:p>
    <w:p>
      <w:pPr>
        <w:pStyle w:val="Heading2"/>
      </w:pPr>
      <w:r>
        <w:rPr>
          <w:rFonts w:ascii="Arial" w:hAnsi="Arial"/>
          <w:b/>
          <w:color w:val="B91C1C"/>
          <w:sz w:val="26"/>
        </w:rPr>
        <w:t>b) Software Requirements</w:t>
      </w:r>
    </w:p>
    <w:p>
      <w:pPr>
        <w:spacing w:line="300" w:lineRule="auto" w:after="200"/>
      </w:pPr>
      <w:r>
        <w:t>• Operating System: Windows 11 / Ubuntu 22.04 LTS / macOS Sonoma with Docker Engine support.</w:t>
        <w:br/>
        <w:t>• Backend Framework: Python 3.11+ running FastAPI 0.116, Uvicorn, Asyncio, and HTTPX.</w:t>
        <w:br/>
        <w:t>• Machine Learning Engine: Scikit-Learn 1.5+, Joblib, NumPy, and Pandas.</w:t>
        <w:br/>
        <w:t>• Database Management: PostgreSQL 16 Alpine with SQLAlchemy ORM and Alembic schema migrations.</w:t>
        <w:br/>
        <w:t>• Frontend Architecture: Node.js 22+, React 19, TypeScript 5.7, Vite 6, Tailwind CSS v3, and Lucide React.</w:t>
        <w:br/>
        <w:t>• Container Virtualization: Docker Engine 27+ and Docker Compose v2.29+.</w:t>
      </w:r>
    </w:p>
    <w:p>
      <w:pPr>
        <w:pStyle w:val="Heading2"/>
      </w:pPr>
      <w:r>
        <w:rPr>
          <w:rFonts w:ascii="Arial" w:hAnsi="Arial"/>
          <w:b/>
          <w:color w:val="B91C1C"/>
          <w:sz w:val="26"/>
        </w:rPr>
        <w:t>c) System Architecture</w:t>
      </w:r>
    </w:p>
    <w:p>
      <w:pPr>
        <w:spacing w:line="300" w:lineRule="auto" w:after="200"/>
      </w:pPr>
      <w:r>
        <w:t>The system follows a multi-tiered Layer-7 Reverse Proxy architecture decomposed into five functional subsystems:</w:t>
        <w:br/>
        <w:t>1. Ingress &amp; HTTP Termination Tier: Accepts incoming client requests, generates an RFC 4122 correlation ID (X-Request-ID), and tracks in-flight socket concurrency.</w:t>
        <w:br/>
        <w:t>2. Autonomous Probing &amp; Telemetry Tier: An asynchronous background loop executing every 15 seconds polls candidate endpoints (/health and /metrics), capturing CPU%, resident memory, and smoothed EWMA latency.</w:t>
        <w:br/>
        <w:t>3. Policy Execution &amp; Routing Core: Supports 4 distinct routing algorithms (Round Robin, Weighted Round Robin, Least Connections, AI Latency Regression).</w:t>
        <w:br/>
        <w:t>4. Asymmetric Worker Fleet: Three Dockerized backend services emulating real-world server performance variance (Worker A = 15ms, Worker B = 60ms, Worker C = 30ms).</w:t>
        <w:br/>
        <w:t>5. Storage &amp; Analytics Tier: PostgreSQL database maintaining persistent records of every routing decision, model metrics, and telemetry samples.</w:t>
      </w:r>
    </w:p>
    <w:p>
      <w:pPr>
        <w:pStyle w:val="Heading2"/>
      </w:pPr>
      <w:r>
        <w:rPr>
          <w:rFonts w:ascii="Arial" w:hAnsi="Arial"/>
          <w:b/>
          <w:color w:val="B91C1C"/>
          <w:sz w:val="26"/>
        </w:rPr>
        <w:t>d) Diagrams &amp; Mathematical Formulations</w:t>
      </w:r>
    </w:p>
    <w:p>
      <w:pPr>
        <w:spacing w:line="300" w:lineRule="auto" w:after="200"/>
      </w:pPr>
      <w:r>
        <w:t>Figure 1 illustrates the high-level network topology showing the relationship between clients, the reverse proxy, the autonomous telemetry prober, and the heterogeneous worker fleet.</w:t>
      </w:r>
    </w:p>
    <w:p>
      <w:pPr>
        <w:jc w:val="center"/>
      </w:pPr>
      <w:r>
        <w:drawing>
          <wp:inline xmlns:a="http://schemas.openxmlformats.org/drawingml/2006/main" xmlns:pic="http://schemas.openxmlformats.org/drawingml/2006/picture">
            <wp:extent cx="5029200" cy="2801073"/>
            <wp:docPr id="3" name="Picture 3"/>
            <wp:cNvGraphicFramePr>
              <a:graphicFrameLocks noChangeAspect="1"/>
            </wp:cNvGraphicFramePr>
            <a:graphic>
              <a:graphicData uri="http://schemas.openxmlformats.org/drawingml/2006/picture">
                <pic:pic>
                  <pic:nvPicPr>
                    <pic:cNvPr id="0" name="network_topology.png"/>
                    <pic:cNvPicPr/>
                  </pic:nvPicPr>
                  <pic:blipFill>
                    <a:blip r:embed="rId11"/>
                    <a:stretch>
                      <a:fillRect/>
                    </a:stretch>
                  </pic:blipFill>
                  <pic:spPr>
                    <a:xfrm>
                      <a:off x="0" y="0"/>
                      <a:ext cx="5029200" cy="2801073"/>
                    </a:xfrm>
                    <a:prstGeom prst="rect"/>
                  </pic:spPr>
                </pic:pic>
              </a:graphicData>
            </a:graphic>
          </wp:inline>
        </w:drawing>
      </w:r>
    </w:p>
    <w:p>
      <w:pPr>
        <w:jc w:val="center"/>
      </w:pPr>
      <w:r>
        <w:rPr>
          <w:i/>
          <w:color w:val="64748B"/>
          <w:sz w:val="20"/>
        </w:rPr>
        <w:t>Figure 1: AI-Based Load Balancing Network Topology</w:t>
      </w:r>
    </w:p>
    <w:p>
      <w:pPr>
        <w:spacing w:line="300" w:lineRule="auto" w:after="200"/>
      </w:pPr>
      <w:r>
        <w:t>Mathematical Formulations:</w:t>
        <w:br/>
        <w:br/>
        <w:t>1. Exponentially Weighted Moving Average (EWMA):</w:t>
        <w:br/>
        <w:t>To filter high-frequency network jitter while capturing persistent latency degradation, each worker's historical latency is updated via:</w:t>
        <w:br/>
        <w:t xml:space="preserve">    S_t = α · Y_t + (1 - α) · S_{t-1}</w:t>
        <w:br/>
        <w:t>where S_t is the updated smoothed latency, Y_t is the observed round-trip latency of the current request, and α is the smoothing factor (configured to 0.3). This ensures immediate sensitivity to sustained degradation (such as Worker B's 60ms delay) without over-reacting to one-off spikes.</w:t>
        <w:br/>
        <w:br/>
        <w:t>2. Random Forest Latency Predictor:</w:t>
        <w:br/>
        <w:t>The supervised regression model aggregates B = 100 decorrelated decision trees. For a given telemetry feature vector x, the ensemble prediction is given by:</w:t>
        <w:br/>
        <w:t xml:space="preserve">    ŷ(x) = (1 / B) ∑_{b=1}^{B} T_b(x)</w:t>
        <w:br/>
        <w:t>where each tree T_b is trained on a bootstrap sample of calibration decisions, minimizing Mean Squared Error (MSE).</w:t>
      </w:r>
    </w:p>
    <w:p>
      <w:pPr>
        <w:jc w:val="center"/>
      </w:pPr>
      <w:r>
        <w:drawing>
          <wp:inline xmlns:a="http://schemas.openxmlformats.org/drawingml/2006/main" xmlns:pic="http://schemas.openxmlformats.org/drawingml/2006/picture">
            <wp:extent cx="5029200" cy="2730137"/>
            <wp:docPr id="4" name="Picture 4"/>
            <wp:cNvGraphicFramePr>
              <a:graphicFrameLocks noChangeAspect="1"/>
            </wp:cNvGraphicFramePr>
            <a:graphic>
              <a:graphicData uri="http://schemas.openxmlformats.org/drawingml/2006/picture">
                <pic:pic>
                  <pic:nvPicPr>
                    <pic:cNvPr id="0" name="architecture-submission.png"/>
                    <pic:cNvPicPr/>
                  </pic:nvPicPr>
                  <pic:blipFill>
                    <a:blip r:embed="rId12"/>
                    <a:stretch>
                      <a:fillRect/>
                    </a:stretch>
                  </pic:blipFill>
                  <pic:spPr>
                    <a:xfrm>
                      <a:off x="0" y="0"/>
                      <a:ext cx="5029200" cy="2730137"/>
                    </a:xfrm>
                    <a:prstGeom prst="rect"/>
                  </pic:spPr>
                </pic:pic>
              </a:graphicData>
            </a:graphic>
          </wp:inline>
        </w:drawing>
      </w:r>
    </w:p>
    <w:p>
      <w:pPr>
        <w:jc w:val="center"/>
      </w:pPr>
      <w:r>
        <w:rPr>
          <w:i/>
          <w:color w:val="64748B"/>
          <w:sz w:val="20"/>
        </w:rPr>
        <w:t>Figure 2: Layered System Architecture and Control Plane Workflow</w:t>
      </w:r>
    </w:p>
    <w:p>
      <w:r>
        <w:br w:type="page"/>
      </w:r>
    </w:p>
    <w:p>
      <w:pPr>
        <w:pStyle w:val="Heading1"/>
      </w:pPr>
      <w:r>
        <w:rPr>
          <w:rFonts w:ascii="Arial" w:hAnsi="Arial"/>
          <w:b/>
          <w:color w:val="11385B"/>
          <w:sz w:val="32"/>
        </w:rPr>
        <w:t>4. Implementation</w:t>
      </w:r>
    </w:p>
    <w:p>
      <w:pPr>
        <w:pStyle w:val="Heading2"/>
      </w:pPr>
      <w:r>
        <w:rPr>
          <w:rFonts w:ascii="Arial" w:hAnsi="Arial"/>
          <w:b/>
          <w:color w:val="B91C1C"/>
          <w:sz w:val="26"/>
        </w:rPr>
        <w:t>a) Technologies Used</w:t>
      </w:r>
    </w:p>
    <w:tbl>
      <w:tblPr>
        <w:tblW w:type="auto" w:w="0"/>
        <w:jc w:val="center"/>
        <w:tblLayout w:type="fixed"/>
        <w:tblLook w:firstColumn="1" w:firstRow="1" w:lastColumn="0" w:lastRow="0" w:noHBand="0" w:noVBand="1" w:val="04A0"/>
      </w:tblPr>
      <w:tblGrid>
        <w:gridCol w:w="2880"/>
        <w:gridCol w:w="2160"/>
        <w:gridCol w:w="4320"/>
      </w:tblGrid>
      <w:tr>
        <w:tc>
          <w:tcPr>
            <w:tcW w:type="dxa" w:w="3120"/>
            <w:shd w:val="clear" w:color="auto" w:fill="0F172A"/>
          </w:tcPr>
          <w:p>
            <w:r>
              <w:rPr>
                <w:b/>
                <w:color w:val="FFFFFF"/>
                <w:sz w:val="20"/>
              </w:rPr>
              <w:t>Component / Tool</w:t>
            </w:r>
          </w:p>
        </w:tc>
        <w:tc>
          <w:tcPr>
            <w:tcW w:type="dxa" w:w="3120"/>
            <w:shd w:val="clear" w:color="auto" w:fill="0F172A"/>
          </w:tcPr>
          <w:p>
            <w:r>
              <w:rPr>
                <w:b/>
                <w:color w:val="FFFFFF"/>
                <w:sz w:val="20"/>
              </w:rPr>
              <w:t>Version</w:t>
            </w:r>
          </w:p>
        </w:tc>
        <w:tc>
          <w:tcPr>
            <w:tcW w:type="dxa" w:w="3120"/>
            <w:shd w:val="clear" w:color="auto" w:fill="0F172A"/>
          </w:tcPr>
          <w:p>
            <w:r>
              <w:rPr>
                <w:b/>
                <w:color w:val="FFFFFF"/>
                <w:sz w:val="20"/>
              </w:rPr>
              <w:t>Architectural Role</w:t>
            </w:r>
          </w:p>
        </w:tc>
      </w:tr>
      <w:tr>
        <w:tc>
          <w:tcPr>
            <w:tcW w:type="dxa" w:w="2880"/>
            <w:shd w:val="clear" w:color="auto" w:fill="F8FAFC"/>
          </w:tcPr>
          <w:p>
            <w:r>
              <w:rPr>
                <w:sz w:val="19"/>
              </w:rPr>
              <w:t>FastAPI</w:t>
            </w:r>
          </w:p>
        </w:tc>
        <w:tc>
          <w:tcPr>
            <w:tcW w:type="dxa" w:w="2160"/>
            <w:shd w:val="clear" w:color="auto" w:fill="F8FAFC"/>
          </w:tcPr>
          <w:p>
            <w:r>
              <w:rPr>
                <w:sz w:val="19"/>
              </w:rPr>
              <w:t>0.116.0</w:t>
            </w:r>
          </w:p>
        </w:tc>
        <w:tc>
          <w:tcPr>
            <w:tcW w:type="dxa" w:w="4320"/>
            <w:shd w:val="clear" w:color="auto" w:fill="F8FAFC"/>
          </w:tcPr>
          <w:p>
            <w:r>
              <w:rPr>
                <w:sz w:val="19"/>
              </w:rPr>
              <w:t>Asynchronous Layer-7 reverse proxy core &amp; REST endpoints</w:t>
            </w:r>
          </w:p>
        </w:tc>
      </w:tr>
      <w:tr>
        <w:tc>
          <w:tcPr>
            <w:tcW w:type="dxa" w:w="2880"/>
            <w:shd w:val="clear" w:color="auto" w:fill="FFFFFF"/>
          </w:tcPr>
          <w:p>
            <w:r>
              <w:rPr>
                <w:sz w:val="19"/>
              </w:rPr>
              <w:t>Scikit-Learn</w:t>
            </w:r>
          </w:p>
        </w:tc>
        <w:tc>
          <w:tcPr>
            <w:tcW w:type="dxa" w:w="2160"/>
            <w:shd w:val="clear" w:color="auto" w:fill="FFFFFF"/>
          </w:tcPr>
          <w:p>
            <w:r>
              <w:rPr>
                <w:sz w:val="19"/>
              </w:rPr>
              <w:t>1.5.0</w:t>
            </w:r>
          </w:p>
        </w:tc>
        <w:tc>
          <w:tcPr>
            <w:tcW w:type="dxa" w:w="4320"/>
            <w:shd w:val="clear" w:color="auto" w:fill="FFFFFF"/>
          </w:tcPr>
          <w:p>
            <w:r>
              <w:rPr>
                <w:sz w:val="19"/>
              </w:rPr>
              <w:t>RandomForestRegressor training and inference engine</w:t>
            </w:r>
          </w:p>
        </w:tc>
      </w:tr>
      <w:tr>
        <w:tc>
          <w:tcPr>
            <w:tcW w:type="dxa" w:w="2880"/>
            <w:shd w:val="clear" w:color="auto" w:fill="F8FAFC"/>
          </w:tcPr>
          <w:p>
            <w:r>
              <w:rPr>
                <w:sz w:val="19"/>
              </w:rPr>
              <w:t>PostgreSQL</w:t>
            </w:r>
          </w:p>
        </w:tc>
        <w:tc>
          <w:tcPr>
            <w:tcW w:type="dxa" w:w="2160"/>
            <w:shd w:val="clear" w:color="auto" w:fill="F8FAFC"/>
          </w:tcPr>
          <w:p>
            <w:r>
              <w:rPr>
                <w:sz w:val="19"/>
              </w:rPr>
              <w:t>16-alpine</w:t>
            </w:r>
          </w:p>
        </w:tc>
        <w:tc>
          <w:tcPr>
            <w:tcW w:type="dxa" w:w="4320"/>
            <w:shd w:val="clear" w:color="auto" w:fill="F8FAFC"/>
          </w:tcPr>
          <w:p>
            <w:r>
              <w:rPr>
                <w:sz w:val="19"/>
              </w:rPr>
              <w:t>Relational telemetry repository &amp; decision audit store</w:t>
            </w:r>
          </w:p>
        </w:tc>
      </w:tr>
      <w:tr>
        <w:tc>
          <w:tcPr>
            <w:tcW w:type="dxa" w:w="2880"/>
            <w:shd w:val="clear" w:color="auto" w:fill="FFFFFF"/>
          </w:tcPr>
          <w:p>
            <w:r>
              <w:rPr>
                <w:sz w:val="19"/>
              </w:rPr>
              <w:t>React</w:t>
            </w:r>
          </w:p>
        </w:tc>
        <w:tc>
          <w:tcPr>
            <w:tcW w:type="dxa" w:w="2160"/>
            <w:shd w:val="clear" w:color="auto" w:fill="FFFFFF"/>
          </w:tcPr>
          <w:p>
            <w:r>
              <w:rPr>
                <w:sz w:val="19"/>
              </w:rPr>
              <w:t>19.0.0</w:t>
            </w:r>
          </w:p>
        </w:tc>
        <w:tc>
          <w:tcPr>
            <w:tcW w:type="dxa" w:w="4320"/>
            <w:shd w:val="clear" w:color="auto" w:fill="FFFFFF"/>
          </w:tcPr>
          <w:p>
            <w:r>
              <w:rPr>
                <w:sz w:val="19"/>
              </w:rPr>
              <w:t>Single-page operational dashboard &amp; telemetry HUD</w:t>
            </w:r>
          </w:p>
        </w:tc>
      </w:tr>
      <w:tr>
        <w:tc>
          <w:tcPr>
            <w:tcW w:type="dxa" w:w="2880"/>
            <w:shd w:val="clear" w:color="auto" w:fill="F8FAFC"/>
          </w:tcPr>
          <w:p>
            <w:r>
              <w:rPr>
                <w:sz w:val="19"/>
              </w:rPr>
              <w:t>TypeScript</w:t>
            </w:r>
          </w:p>
        </w:tc>
        <w:tc>
          <w:tcPr>
            <w:tcW w:type="dxa" w:w="2160"/>
            <w:shd w:val="clear" w:color="auto" w:fill="F8FAFC"/>
          </w:tcPr>
          <w:p>
            <w:r>
              <w:rPr>
                <w:sz w:val="19"/>
              </w:rPr>
              <w:t>5.7.0</w:t>
            </w:r>
          </w:p>
        </w:tc>
        <w:tc>
          <w:tcPr>
            <w:tcW w:type="dxa" w:w="4320"/>
            <w:shd w:val="clear" w:color="auto" w:fill="F8FAFC"/>
          </w:tcPr>
          <w:p>
            <w:r>
              <w:rPr>
                <w:sz w:val="19"/>
              </w:rPr>
              <w:t>Type-safe client architecture with strict null guards</w:t>
            </w:r>
          </w:p>
        </w:tc>
      </w:tr>
      <w:tr>
        <w:tc>
          <w:tcPr>
            <w:tcW w:type="dxa" w:w="2880"/>
            <w:shd w:val="clear" w:color="auto" w:fill="FFFFFF"/>
          </w:tcPr>
          <w:p>
            <w:r>
              <w:rPr>
                <w:sz w:val="19"/>
              </w:rPr>
              <w:t>Nginx</w:t>
            </w:r>
          </w:p>
        </w:tc>
        <w:tc>
          <w:tcPr>
            <w:tcW w:type="dxa" w:w="2160"/>
            <w:shd w:val="clear" w:color="auto" w:fill="FFFFFF"/>
          </w:tcPr>
          <w:p>
            <w:r>
              <w:rPr>
                <w:sz w:val="19"/>
              </w:rPr>
              <w:t>1.27-alpine</w:t>
            </w:r>
          </w:p>
        </w:tc>
        <w:tc>
          <w:tcPr>
            <w:tcW w:type="dxa" w:w="4320"/>
            <w:shd w:val="clear" w:color="auto" w:fill="FFFFFF"/>
          </w:tcPr>
          <w:p>
            <w:r>
              <w:rPr>
                <w:sz w:val="19"/>
              </w:rPr>
              <w:t>Production static file web server &amp; client gateway</w:t>
            </w:r>
          </w:p>
        </w:tc>
      </w:tr>
      <w:tr>
        <w:tc>
          <w:tcPr>
            <w:tcW w:type="dxa" w:w="2880"/>
            <w:shd w:val="clear" w:color="auto" w:fill="F8FAFC"/>
          </w:tcPr>
          <w:p>
            <w:r>
              <w:rPr>
                <w:sz w:val="19"/>
              </w:rPr>
              <w:t>HTTPX</w:t>
            </w:r>
          </w:p>
        </w:tc>
        <w:tc>
          <w:tcPr>
            <w:tcW w:type="dxa" w:w="2160"/>
            <w:shd w:val="clear" w:color="auto" w:fill="F8FAFC"/>
          </w:tcPr>
          <w:p>
            <w:r>
              <w:rPr>
                <w:sz w:val="19"/>
              </w:rPr>
              <w:t>0.27.0</w:t>
            </w:r>
          </w:p>
        </w:tc>
        <w:tc>
          <w:tcPr>
            <w:tcW w:type="dxa" w:w="4320"/>
            <w:shd w:val="clear" w:color="auto" w:fill="F8FAFC"/>
          </w:tcPr>
          <w:p>
            <w:r>
              <w:rPr>
                <w:sz w:val="19"/>
              </w:rPr>
              <w:t>High-throughput asynchronous HTTP upstream client</w:t>
            </w:r>
          </w:p>
        </w:tc>
      </w:tr>
      <w:tr>
        <w:tc>
          <w:tcPr>
            <w:tcW w:type="dxa" w:w="2880"/>
            <w:shd w:val="clear" w:color="auto" w:fill="FFFFFF"/>
          </w:tcPr>
          <w:p>
            <w:r>
              <w:rPr>
                <w:sz w:val="19"/>
              </w:rPr>
              <w:t>Docker Compose</w:t>
            </w:r>
          </w:p>
        </w:tc>
        <w:tc>
          <w:tcPr>
            <w:tcW w:type="dxa" w:w="2160"/>
            <w:shd w:val="clear" w:color="auto" w:fill="FFFFFF"/>
          </w:tcPr>
          <w:p>
            <w:r>
              <w:rPr>
                <w:sz w:val="19"/>
              </w:rPr>
              <w:t>v2.29+</w:t>
            </w:r>
          </w:p>
        </w:tc>
        <w:tc>
          <w:tcPr>
            <w:tcW w:type="dxa" w:w="4320"/>
            <w:shd w:val="clear" w:color="auto" w:fill="FFFFFF"/>
          </w:tcPr>
          <w:p>
            <w:r>
              <w:rPr>
                <w:sz w:val="19"/>
              </w:rPr>
              <w:t>Multi-container isolated bridge networking &amp; deployment</w:t>
            </w:r>
          </w:p>
        </w:tc>
      </w:tr>
      <w:tr>
        <w:tc>
          <w:tcPr>
            <w:tcW w:type="dxa" w:w="2880"/>
            <w:shd w:val="clear" w:color="auto" w:fill="F8FAFC"/>
          </w:tcPr>
          <w:p>
            <w:r>
              <w:rPr>
                <w:sz w:val="19"/>
              </w:rPr>
              <w:t>Pytest</w:t>
            </w:r>
          </w:p>
        </w:tc>
        <w:tc>
          <w:tcPr>
            <w:tcW w:type="dxa" w:w="2160"/>
            <w:shd w:val="clear" w:color="auto" w:fill="F8FAFC"/>
          </w:tcPr>
          <w:p>
            <w:r>
              <w:rPr>
                <w:sz w:val="19"/>
              </w:rPr>
              <w:t>8.4.1</w:t>
            </w:r>
          </w:p>
        </w:tc>
        <w:tc>
          <w:tcPr>
            <w:tcW w:type="dxa" w:w="4320"/>
            <w:shd w:val="clear" w:color="auto" w:fill="F8FAFC"/>
          </w:tcPr>
          <w:p>
            <w:r>
              <w:rPr>
                <w:sz w:val="19"/>
              </w:rPr>
              <w:t>Test-driven development suite (26 passing test cases)</w:t>
            </w:r>
          </w:p>
        </w:tc>
      </w:tr>
    </w:tbl>
    <w:p>
      <w:pPr>
        <w:pStyle w:val="Heading2"/>
      </w:pPr>
      <w:r>
        <w:rPr>
          <w:rFonts w:ascii="Arial" w:hAnsi="Arial"/>
          <w:b/>
          <w:color w:val="B91C1C"/>
          <w:sz w:val="26"/>
        </w:rPr>
        <w:t>b) Screenshots, Operational Outputs &amp; Benchmark Results</w:t>
      </w:r>
    </w:p>
    <w:p>
      <w:pPr>
        <w:spacing w:line="300" w:lineRule="auto" w:after="200"/>
      </w:pPr>
      <w:r>
        <w:t>To evaluate the routing performance rigorously, a synthetic workload shootout benchmark was executed across all four policies under identical conditions. Table 2 summarizes the empirical results.</w:t>
      </w:r>
    </w:p>
    <w:tbl>
      <w:tblPr>
        <w:tblW w:type="auto" w:w="0"/>
        <w:jc w:val="center"/>
        <w:tblLayout w:type="fixed"/>
        <w:tblLook w:firstColumn="1" w:firstRow="1" w:lastColumn="0" w:lastRow="0" w:noHBand="0" w:noVBand="1" w:val="04A0"/>
      </w:tblPr>
      <w:tblGrid>
        <w:gridCol w:w="2160"/>
        <w:gridCol w:w="1440"/>
        <w:gridCol w:w="1440"/>
        <w:gridCol w:w="1440"/>
        <w:gridCol w:w="1440"/>
        <w:gridCol w:w="1440"/>
      </w:tblGrid>
      <w:tr>
        <w:tc>
          <w:tcPr>
            <w:tcW w:type="dxa" w:w="1560"/>
            <w:shd w:val="clear" w:color="auto" w:fill="11385B"/>
          </w:tcPr>
          <w:p>
            <w:r>
              <w:rPr>
                <w:b/>
                <w:color w:val="FFFFFF"/>
                <w:sz w:val="19"/>
              </w:rPr>
              <w:t>Policy</w:t>
            </w:r>
          </w:p>
        </w:tc>
        <w:tc>
          <w:tcPr>
            <w:tcW w:type="dxa" w:w="1560"/>
            <w:shd w:val="clear" w:color="auto" w:fill="11385B"/>
          </w:tcPr>
          <w:p>
            <w:r>
              <w:rPr>
                <w:b/>
                <w:color w:val="FFFFFF"/>
                <w:sz w:val="19"/>
              </w:rPr>
              <w:t>Rounds</w:t>
            </w:r>
          </w:p>
        </w:tc>
        <w:tc>
          <w:tcPr>
            <w:tcW w:type="dxa" w:w="1560"/>
            <w:shd w:val="clear" w:color="auto" w:fill="11385B"/>
          </w:tcPr>
          <w:p>
            <w:r>
              <w:rPr>
                <w:b/>
                <w:color w:val="FFFFFF"/>
                <w:sz w:val="19"/>
              </w:rPr>
              <w:t>P50 (ms)</w:t>
            </w:r>
          </w:p>
        </w:tc>
        <w:tc>
          <w:tcPr>
            <w:tcW w:type="dxa" w:w="1560"/>
            <w:shd w:val="clear" w:color="auto" w:fill="11385B"/>
          </w:tcPr>
          <w:p>
            <w:r>
              <w:rPr>
                <w:b/>
                <w:color w:val="FFFFFF"/>
                <w:sz w:val="19"/>
              </w:rPr>
              <w:t>Mean (ms)</w:t>
            </w:r>
          </w:p>
        </w:tc>
        <w:tc>
          <w:tcPr>
            <w:tcW w:type="dxa" w:w="1560"/>
            <w:shd w:val="clear" w:color="auto" w:fill="11385B"/>
          </w:tcPr>
          <w:p>
            <w:r>
              <w:rPr>
                <w:b/>
                <w:color w:val="FFFFFF"/>
                <w:sz w:val="19"/>
              </w:rPr>
              <w:t>P95 (ms)</w:t>
            </w:r>
          </w:p>
        </w:tc>
        <w:tc>
          <w:tcPr>
            <w:tcW w:type="dxa" w:w="1560"/>
            <w:shd w:val="clear" w:color="auto" w:fill="11385B"/>
          </w:tcPr>
          <w:p>
            <w:r>
              <w:rPr>
                <w:b/>
                <w:color w:val="FFFFFF"/>
                <w:sz w:val="19"/>
              </w:rPr>
              <w:t>Avoidance</w:t>
            </w:r>
          </w:p>
        </w:tc>
      </w:tr>
      <w:tr>
        <w:tc>
          <w:tcPr>
            <w:tcW w:type="dxa" w:w="2160"/>
            <w:shd w:val="clear" w:color="auto" w:fill="F8FAFC"/>
          </w:tcPr>
          <w:p>
            <w:r>
              <w:rPr>
                <w:sz w:val="19"/>
              </w:rPr>
              <w:t>Round Robin</w:t>
            </w:r>
          </w:p>
        </w:tc>
        <w:tc>
          <w:tcPr>
            <w:tcW w:type="dxa" w:w="1440"/>
            <w:shd w:val="clear" w:color="auto" w:fill="F8FAFC"/>
          </w:tcPr>
          <w:p>
            <w:r>
              <w:rPr>
                <w:sz w:val="19"/>
              </w:rPr>
              <w:t>6</w:t>
            </w:r>
          </w:p>
        </w:tc>
        <w:tc>
          <w:tcPr>
            <w:tcW w:type="dxa" w:w="1440"/>
            <w:shd w:val="clear" w:color="auto" w:fill="F8FAFC"/>
          </w:tcPr>
          <w:p>
            <w:r>
              <w:rPr>
                <w:sz w:val="19"/>
              </w:rPr>
              <w:t>43.89 ms</w:t>
            </w:r>
          </w:p>
        </w:tc>
        <w:tc>
          <w:tcPr>
            <w:tcW w:type="dxa" w:w="1440"/>
            <w:shd w:val="clear" w:color="auto" w:fill="F8FAFC"/>
          </w:tcPr>
          <w:p>
            <w:r>
              <w:rPr>
                <w:sz w:val="19"/>
              </w:rPr>
              <w:t>52.64 ms</w:t>
            </w:r>
          </w:p>
        </w:tc>
        <w:tc>
          <w:tcPr>
            <w:tcW w:type="dxa" w:w="1440"/>
            <w:shd w:val="clear" w:color="auto" w:fill="F8FAFC"/>
          </w:tcPr>
          <w:p>
            <w:r>
              <w:rPr>
                <w:sz w:val="19"/>
              </w:rPr>
              <w:t>74.37 ms</w:t>
            </w:r>
          </w:p>
        </w:tc>
        <w:tc>
          <w:tcPr>
            <w:tcW w:type="dxa" w:w="1440"/>
            <w:shd w:val="clear" w:color="auto" w:fill="F8FAFC"/>
          </w:tcPr>
          <w:p>
            <w:r>
              <w:rPr>
                <w:sz w:val="19"/>
              </w:rPr>
              <w:t>66.7% (2 hits)</w:t>
            </w:r>
          </w:p>
        </w:tc>
      </w:tr>
      <w:tr>
        <w:tc>
          <w:tcPr>
            <w:tcW w:type="dxa" w:w="2160"/>
            <w:shd w:val="clear" w:color="auto" w:fill="FFFFFF"/>
          </w:tcPr>
          <w:p>
            <w:r>
              <w:rPr>
                <w:sz w:val="19"/>
              </w:rPr>
              <w:t>Weighted RR</w:t>
            </w:r>
          </w:p>
        </w:tc>
        <w:tc>
          <w:tcPr>
            <w:tcW w:type="dxa" w:w="1440"/>
            <w:shd w:val="clear" w:color="auto" w:fill="FFFFFF"/>
          </w:tcPr>
          <w:p>
            <w:r>
              <w:rPr>
                <w:sz w:val="19"/>
              </w:rPr>
              <w:t>6</w:t>
            </w:r>
          </w:p>
        </w:tc>
        <w:tc>
          <w:tcPr>
            <w:tcW w:type="dxa" w:w="1440"/>
            <w:shd w:val="clear" w:color="auto" w:fill="FFFFFF"/>
          </w:tcPr>
          <w:p>
            <w:r>
              <w:rPr>
                <w:sz w:val="19"/>
              </w:rPr>
              <w:t>46.86 ms</w:t>
            </w:r>
          </w:p>
        </w:tc>
        <w:tc>
          <w:tcPr>
            <w:tcW w:type="dxa" w:w="1440"/>
            <w:shd w:val="clear" w:color="auto" w:fill="FFFFFF"/>
          </w:tcPr>
          <w:p>
            <w:r>
              <w:rPr>
                <w:sz w:val="19"/>
              </w:rPr>
              <w:t>54.77 ms</w:t>
            </w:r>
          </w:p>
        </w:tc>
        <w:tc>
          <w:tcPr>
            <w:tcW w:type="dxa" w:w="1440"/>
            <w:shd w:val="clear" w:color="auto" w:fill="FFFFFF"/>
          </w:tcPr>
          <w:p>
            <w:r>
              <w:rPr>
                <w:sz w:val="19"/>
              </w:rPr>
              <w:t>75.91 ms</w:t>
            </w:r>
          </w:p>
        </w:tc>
        <w:tc>
          <w:tcPr>
            <w:tcW w:type="dxa" w:w="1440"/>
            <w:shd w:val="clear" w:color="auto" w:fill="FFFFFF"/>
          </w:tcPr>
          <w:p>
            <w:r>
              <w:rPr>
                <w:sz w:val="19"/>
              </w:rPr>
              <w:t>66.7% (2 hits)</w:t>
            </w:r>
          </w:p>
        </w:tc>
      </w:tr>
      <w:tr>
        <w:tc>
          <w:tcPr>
            <w:tcW w:type="dxa" w:w="2160"/>
            <w:shd w:val="clear" w:color="auto" w:fill="F8FAFC"/>
          </w:tcPr>
          <w:p>
            <w:r>
              <w:rPr>
                <w:sz w:val="19"/>
              </w:rPr>
              <w:t>Least Conns</w:t>
            </w:r>
          </w:p>
        </w:tc>
        <w:tc>
          <w:tcPr>
            <w:tcW w:type="dxa" w:w="1440"/>
            <w:shd w:val="clear" w:color="auto" w:fill="F8FAFC"/>
          </w:tcPr>
          <w:p>
            <w:r>
              <w:rPr>
                <w:sz w:val="19"/>
              </w:rPr>
              <w:t>6</w:t>
            </w:r>
          </w:p>
        </w:tc>
        <w:tc>
          <w:tcPr>
            <w:tcW w:type="dxa" w:w="1440"/>
            <w:shd w:val="clear" w:color="auto" w:fill="F8FAFC"/>
          </w:tcPr>
          <w:p>
            <w:r>
              <w:rPr>
                <w:sz w:val="19"/>
              </w:rPr>
              <w:t>31.39 ms</w:t>
            </w:r>
          </w:p>
        </w:tc>
        <w:tc>
          <w:tcPr>
            <w:tcW w:type="dxa" w:w="1440"/>
            <w:shd w:val="clear" w:color="auto" w:fill="F8FAFC"/>
          </w:tcPr>
          <w:p>
            <w:r>
              <w:rPr>
                <w:sz w:val="19"/>
              </w:rPr>
              <w:t>33.22 ms</w:t>
            </w:r>
          </w:p>
        </w:tc>
        <w:tc>
          <w:tcPr>
            <w:tcW w:type="dxa" w:w="1440"/>
            <w:shd w:val="clear" w:color="auto" w:fill="F8FAFC"/>
          </w:tcPr>
          <w:p>
            <w:r>
              <w:rPr>
                <w:sz w:val="19"/>
              </w:rPr>
              <w:t>34.14 ms</w:t>
            </w:r>
          </w:p>
        </w:tc>
        <w:tc>
          <w:tcPr>
            <w:tcW w:type="dxa" w:w="1440"/>
            <w:shd w:val="clear" w:color="auto" w:fill="F8FAFC"/>
          </w:tcPr>
          <w:p>
            <w:r>
              <w:rPr>
                <w:sz w:val="19"/>
              </w:rPr>
              <w:t>100.0% (0 hits)</w:t>
            </w:r>
          </w:p>
        </w:tc>
      </w:tr>
      <w:tr>
        <w:tc>
          <w:tcPr>
            <w:tcW w:type="dxa" w:w="2160"/>
            <w:shd w:val="clear" w:color="auto" w:fill="D1FAE5"/>
          </w:tcPr>
          <w:p>
            <w:r>
              <w:rPr>
                <w:b/>
                <w:sz w:val="19"/>
              </w:rPr>
              <w:t>AI Latency (RF)</w:t>
            </w:r>
          </w:p>
        </w:tc>
        <w:tc>
          <w:tcPr>
            <w:tcW w:type="dxa" w:w="1440"/>
            <w:shd w:val="clear" w:color="auto" w:fill="D1FAE5"/>
          </w:tcPr>
          <w:p>
            <w:r>
              <w:rPr>
                <w:b/>
                <w:sz w:val="19"/>
              </w:rPr>
              <w:t>6</w:t>
            </w:r>
          </w:p>
        </w:tc>
        <w:tc>
          <w:tcPr>
            <w:tcW w:type="dxa" w:w="1440"/>
            <w:shd w:val="clear" w:color="auto" w:fill="D1FAE5"/>
          </w:tcPr>
          <w:p>
            <w:r>
              <w:rPr>
                <w:b/>
                <w:sz w:val="19"/>
              </w:rPr>
              <w:t>26.26 ms</w:t>
            </w:r>
          </w:p>
        </w:tc>
        <w:tc>
          <w:tcPr>
            <w:tcW w:type="dxa" w:w="1440"/>
            <w:shd w:val="clear" w:color="auto" w:fill="D1FAE5"/>
          </w:tcPr>
          <w:p>
            <w:r>
              <w:rPr>
                <w:b/>
                <w:sz w:val="19"/>
              </w:rPr>
              <w:t>25.72 ms</w:t>
            </w:r>
          </w:p>
        </w:tc>
        <w:tc>
          <w:tcPr>
            <w:tcW w:type="dxa" w:w="1440"/>
            <w:shd w:val="clear" w:color="auto" w:fill="D1FAE5"/>
          </w:tcPr>
          <w:p>
            <w:r>
              <w:rPr>
                <w:b/>
                <w:sz w:val="19"/>
              </w:rPr>
              <w:t>27.50 ms</w:t>
            </w:r>
          </w:p>
        </w:tc>
        <w:tc>
          <w:tcPr>
            <w:tcW w:type="dxa" w:w="1440"/>
            <w:shd w:val="clear" w:color="auto" w:fill="D1FAE5"/>
          </w:tcPr>
          <w:p>
            <w:r>
              <w:rPr>
                <w:b/>
                <w:sz w:val="19"/>
              </w:rPr>
              <w:t>100.0% (0 hits)</w:t>
            </w:r>
          </w:p>
        </w:tc>
      </w:tr>
    </w:tbl>
    <w:p>
      <w:pPr>
        <w:spacing w:line="300" w:lineRule="auto" w:before="200" w:after="200"/>
      </w:pPr>
      <w:r>
        <w:t>Key Benchmark Findings:</w:t>
        <w:br/>
        <w:t>• P95 Tail Latency Reduction: AI Latency achieved 27.50 ms compared to 74.37 ms for Round Robin—a 63.0% tail latency improvement.</w:t>
        <w:br/>
        <w:t>• Straggler Bypass: Worker B (60ms base delay) was avoided 100% of the time under AI routing (0 hits), preventing queue congestion.</w:t>
        <w:br/>
        <w:t>• Jitter Control: P50 (26.26ms) and P95 (27.50ms) under AI differ by only 1.24ms, proving exceptional performance consistency.</w:t>
      </w:r>
    </w:p>
    <w:p>
      <w:pPr>
        <w:jc w:val="center"/>
      </w:pPr>
      <w:r>
        <w:drawing>
          <wp:inline xmlns:a="http://schemas.openxmlformats.org/drawingml/2006/main" xmlns:pic="http://schemas.openxmlformats.org/drawingml/2006/picture">
            <wp:extent cx="5029200" cy="2794000"/>
            <wp:docPr id="5" name="Picture 5"/>
            <wp:cNvGraphicFramePr>
              <a:graphicFrameLocks noChangeAspect="1"/>
            </wp:cNvGraphicFramePr>
            <a:graphic>
              <a:graphicData uri="http://schemas.openxmlformats.org/drawingml/2006/picture">
                <pic:pic>
                  <pic:nvPicPr>
                    <pic:cNvPr id="0" name="shootout_comparison.png"/>
                    <pic:cNvPicPr/>
                  </pic:nvPicPr>
                  <pic:blipFill>
                    <a:blip r:embed="rId13"/>
                    <a:stretch>
                      <a:fillRect/>
                    </a:stretch>
                  </pic:blipFill>
                  <pic:spPr>
                    <a:xfrm>
                      <a:off x="0" y="0"/>
                      <a:ext cx="5029200" cy="2794000"/>
                    </a:xfrm>
                    <a:prstGeom prst="rect"/>
                  </pic:spPr>
                </pic:pic>
              </a:graphicData>
            </a:graphic>
          </wp:inline>
        </w:drawing>
      </w:r>
    </w:p>
    <w:p>
      <w:pPr>
        <w:jc w:val="center"/>
      </w:pPr>
      <w:r>
        <w:rPr>
          <w:i/>
          <w:color w:val="64748B"/>
          <w:sz w:val="20"/>
        </w:rPr>
        <w:t>Figure 3: Empirical 4-Way Shootout Latency Comparison</w:t>
      </w:r>
    </w:p>
    <w:p>
      <w:pPr>
        <w:jc w:val="center"/>
      </w:pPr>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4754880" cy="2674620"/>
                    </a:xfrm>
                    <a:prstGeom prst="rect"/>
                  </pic:spPr>
                </pic:pic>
              </a:graphicData>
            </a:graphic>
          </wp:inline>
        </w:drawing>
      </w:r>
    </w:p>
    <w:p>
      <w:pPr>
        <w:jc w:val="center"/>
      </w:pPr>
      <w:r>
        <w:rPr>
          <w:i/>
          <w:color w:val="64748B"/>
          <w:sz w:val="20"/>
        </w:rPr>
        <w:t>Figure 4: Random Forest Feature Importance Attribution</w:t>
      </w:r>
    </w:p>
    <w:p>
      <w:r>
        <w:br w:type="page"/>
      </w:r>
    </w:p>
    <w:p>
      <w:pPr>
        <w:pStyle w:val="Heading1"/>
      </w:pPr>
      <w:r>
        <w:rPr>
          <w:rFonts w:ascii="Arial" w:hAnsi="Arial"/>
          <w:b/>
          <w:color w:val="11385B"/>
          <w:sz w:val="32"/>
        </w:rPr>
        <w:t>5. Conclusion</w:t>
      </w:r>
    </w:p>
    <w:p>
      <w:pPr>
        <w:spacing w:line="312" w:lineRule="auto" w:after="240"/>
      </w:pPr>
      <w:r>
        <w:t>This project successfully designed, implemented, and validated an intelligent Layer-7 load balancing architecture that demonstrates the decisive superiority of machine learning over traditional heuristic algorithms in heterogeneous cloud networks.</w:t>
        <w:br/>
        <w:br/>
        <w:t>Key Conclusions:</w:t>
        <w:br/>
        <w:t>1. Elimination of Tail Latency: By incorporating real-time telemetry into a supervised Random Forest regressor, the load balancer achieved a 63.0% reduction in P95 response time (27.50 ms vs 74.37 ms for Round Robin).</w:t>
        <w:br/>
        <w:t>2. Effective Straggler Avoidance: The AI routing core successfully bypassed the slow Worker B instance in 100% of benchmark decisions, steering incoming traffic preferentially to high-capacity nodes (Worker A and Worker C).</w:t>
        <w:br/>
        <w:t>3. Production Resilience &amp; Zero Downtime: The integrated fallback circuit breaker proved that machine learning can be incorporated safely into mission-critical networking infrastructure: if inference fails or model artifacts are missing, the system automatically degrades to Least Connections in under 0.2 ms with zero dropped packets.</w:t>
        <w:br/>
        <w:t>4. Full-Stack Observability: The React 19 operational cockpit, featuring dynamic SVG packet flows, live sparklines, and 4-way comparative shootouts, bridges theoretical Computer Networks principles with observable, interactive engineering practice.</w:t>
      </w:r>
    </w:p>
    <w:p>
      <w:pPr>
        <w:pStyle w:val="Heading1"/>
      </w:pPr>
      <w:r>
        <w:rPr>
          <w:rFonts w:ascii="Arial" w:hAnsi="Arial"/>
          <w:b/>
          <w:color w:val="11385B"/>
          <w:sz w:val="32"/>
        </w:rPr>
        <w:t>6. Future Scope</w:t>
      </w:r>
    </w:p>
    <w:p>
      <w:pPr>
        <w:spacing w:line="312" w:lineRule="auto" w:after="240"/>
      </w:pPr>
      <w:r>
        <w:t>While the current prototype achieves robust performance in heterogeneous container environments, several promising directions exist for future research:</w:t>
        <w:br/>
        <w:br/>
        <w:t>1. Online Reinforcement Learning (Contextual Bandits):</w:t>
        <w:br/>
        <w:t>Transitioning from batch-trained Random Forest models to online reinforcement learning (e.g., Upper Confidence Bound or Thompson Sampling) would allow the load balancer to continuously adapt to non-stationary traffic regimes and hardware degradation without requiring offline retraining.</w:t>
        <w:br/>
        <w:br/>
        <w:t>2. Multi-Region Geo-Distributed Routing:</w:t>
        <w:br/>
        <w:t>Extending the feature space to incorporate cross-cloud WAN propagation latencies, DNS Anycast metrics, and egress bandwidth pricing would enable multi-region intelligent traffic distribution across geographically dispersed data centers.</w:t>
        <w:br/>
        <w:br/>
        <w:t>3. Kernel-Space eBPF / XDP Acceleration:</w:t>
        <w:br/>
        <w:t>Offloading the routing decision from user-space Python proxying to Linux kernel eBPF (Extended Berkeley Packet Filter) and XDP (eXpress Data Path) would eliminate user-space context switches, achieving line-rate 100 Gbps packet steering at sub-microsecond latency.</w:t>
      </w:r>
    </w:p>
    <w:p>
      <w:r>
        <w:br w:type="page"/>
      </w:r>
    </w:p>
    <w:p>
      <w:pPr>
        <w:pStyle w:val="Heading1"/>
      </w:pPr>
      <w:r>
        <w:rPr>
          <w:rFonts w:ascii="Arial" w:hAnsi="Arial"/>
          <w:b/>
          <w:color w:val="11385B"/>
          <w:sz w:val="32"/>
        </w:rPr>
        <w:t>References &amp; Syllabus Mapping</w:t>
      </w:r>
    </w:p>
    <w:p>
      <w:pPr>
        <w:spacing w:line="300" w:lineRule="auto" w:after="200"/>
      </w:pPr>
      <w:r>
        <w:t>Academic &amp; Technical References:</w:t>
        <w:br/>
        <w:t>[1] Dean, J., &amp; Barroso, L. A. (2013). 'The Tail at Scale'. Communications of the ACM, 56(2), 74–80.</w:t>
        <w:br/>
        <w:t>[2] Alizadeh, M., et al. (2014). 'CONGA: Distributed Congestion-Aware Load Balancing for Datacenters'. ACM SIGCOMM Computer Communication Review, 44(4), 503–514.</w:t>
        <w:br/>
        <w:t>[3] Pedregosa, F., et al. (2011). 'Scikit-learn: Machine Learning in Python'. Journal of Machine Learning Research, 12, 2825–2830.</w:t>
        <w:br/>
        <w:t>[4] Breiman, L. (2001). 'Random Forests'. Machine Learning, 45(1), 5–32.</w:t>
        <w:br/>
        <w:t>[5] Fielding, R., et al. (2022). 'HTTP Semantics'. RFC 9110, Internet Engineering Task Force (IETF).</w:t>
        <w:br/>
        <w:t>[6] HAProxy Technologies. (2024). 'Dynamic Weight and Queue Load Balancing Architecture Whitepaper'.</w:t>
        <w:br/>
        <w:br/>
        <w:t>Computer Networks Syllabus Unit Mapping:</w:t>
        <w:br/>
        <w:t>• Unit I (Application Layer): HTTP/1.1 reverse proxying, URI routing, request payload classes, and REST APIs.</w:t>
        <w:br/>
        <w:t>• Unit II (Transport Layer): TCP socket management, in-flight connection tracking, port multiplexing, and timeout controls.</w:t>
        <w:br/>
        <w:t>• Unit III (Network Layer): IP addressing, subnet routing in Docker bridge networks, and inter-container communication.</w:t>
        <w:br/>
        <w:t>• Unit IV (Data Link &amp; Timing): Asymmetric delay simulation, frame timing, and round-trip propagation delay (RTT).</w:t>
        <w:br/>
        <w:t>• Unit V (Network Security &amp; Operations): Administrative token authentication, active health probing, and zero-downtime failover.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