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jc w:val="center"/>
      </w:pPr>
      <w:r>
        <w:rPr>
          <w:rFonts w:ascii="Arial" w:cs="Arial" w:eastAsia="Arial" w:hAnsi="Arial"/>
          <w:b w:val="false"/>
          <w:bCs w:val="false"/>
          <w:color w:val="000000"/>
          <w:sz w:val="18"/>
          <w:szCs w:val="18"/>
        </w:rPr>
        <w:t xml:space="preserve">Equity Research White Paper</w:t>
      </w:r>
    </w:p>
    <w:p>
      <w:pPr>
        <w:spacing w:before="0" w:after="30"/>
        <w:jc w:val="center"/>
      </w:pPr>
      <w:r>
        <w:rPr>
          <w:rFonts w:ascii="Arial" w:cs="Arial" w:eastAsia="Arial" w:hAnsi="Arial"/>
          <w:b/>
          <w:bCs/>
          <w:color w:val="000000"/>
          <w:sz w:val="44"/>
          <w:szCs w:val="44"/>
        </w:rPr>
        <w:t xml:space="preserve">Dollarama Inc. (DOL.TO)</w:t>
      </w:r>
    </w:p>
    <w:p>
      <w:pPr>
        <w:spacing w:before="0" w:after="100"/>
        <w:jc w:val="center"/>
      </w:pPr>
      <w:r>
        <w:rPr>
          <w:rFonts w:ascii="Arial" w:cs="Arial" w:eastAsia="Arial" w:hAnsi="Arial"/>
          <w:b w:val="false"/>
          <w:bCs w:val="false"/>
          <w:color w:val="000000"/>
          <w:sz w:val="20"/>
          <w:szCs w:val="20"/>
        </w:rPr>
        <w:t xml:space="preserve">DOL.TO  ·  TSX  ·  Consumer Defensive  ·  Fixed-Price Retail  ·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160"/>
        <w:gridCol w:w="2160"/>
        <w:gridCol w:w="2160"/>
        <w:gridCol w:w="1530"/>
      </w:tblGrid>
      <w:tr>
        <w:tc>
          <w:tcPr>
            <w:tcW w:type="dxa" w:w="135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Recommendation</w:t>
            </w:r>
          </w:p>
        </w:tc>
        <w:tc>
          <w:tcPr>
            <w:tcW w:type="dxa" w:w="21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Price Target</w:t>
            </w:r>
          </w:p>
        </w:tc>
        <w:tc>
          <w:tcPr>
            <w:tcW w:type="dxa" w:w="21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Current Price</w:t>
            </w:r>
          </w:p>
        </w:tc>
        <w:tc>
          <w:tcPr>
            <w:tcW w:type="dxa" w:w="21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FY2026 Revenue</w:t>
            </w:r>
          </w:p>
        </w:tc>
        <w:tc>
          <w:tcPr>
            <w:tcW w:type="dxa" w:w="153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EPS CAGR</w:t>
            </w:r>
          </w:p>
        </w:tc>
      </w:tr>
      <w:tr>
        <w:tc>
          <w:tcPr>
            <w:tcW w:type="dxa" w:w="135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BUY</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$212 CAD (~25% upside)</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~$170 CAD (Mar 2026)</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$7.26B (+13.1% YoY)</w:t>
            </w:r>
          </w:p>
        </w:tc>
        <w:tc>
          <w:tcPr>
            <w:tcW w:type="dxa" w:w="153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+21%  (FY2022–2026, &gt;7% ✓)</w:t>
            </w:r>
          </w:p>
        </w:tc>
      </w:tr>
    </w:tbl>
    <w:p>
      <w:pPr>
        <w:spacing w:after="80"/>
      </w:pPr>
      <w:r>
        <w:rPr>
          <w:sz w:val="4"/>
          <w:szCs w:val="4"/>
        </w:rPr>
        <w:t xml:space="preserve"/>
      </w:r>
    </w:p>
    <w:p>
      <w:pPr>
        <w:pStyle w:val="Heading1"/>
        <w:pBdr>
          <w:bottom w:val="single" w:color="000000" w:sz="8"/>
        </w:pBdr>
        <w:spacing w:before="220" w:after="100"/>
      </w:pPr>
      <w:r>
        <w:rPr>
          <w:rFonts w:ascii="Arial" w:cs="Arial" w:eastAsia="Arial" w:hAnsi="Arial"/>
          <w:b/>
          <w:bCs/>
          <w:color w:val="000000"/>
          <w:sz w:val="26"/>
          <w:szCs w:val="26"/>
        </w:rPr>
        <w:t xml:space="preserve">Executive Summary and Investment Recommendation</w:t>
      </w:r>
    </w:p>
    <w:p>
      <w:pPr>
        <w:spacing w:before="0" w:after="80"/>
      </w:pPr>
      <w:r>
        <w:rPr>
          <w:rFonts w:ascii="Times New Roman" w:cs="Times New Roman" w:eastAsia="Times New Roman" w:hAnsi="Times New Roman"/>
          <w:b w:val="false"/>
          <w:bCs w:val="false"/>
          <w:color w:val="000000"/>
          <w:sz w:val="22"/>
          <w:szCs w:val="22"/>
        </w:rPr>
        <w:t xml:space="preserve">On March 24, 2026, Dollarama reported FY2026 results and the stock fell nine percent. Revenue had grown thirteen percent. Earnings per share had grown thirteen percent. The selloff was driven by a 170 basis point EBITDA margin dip attributable to integration costs from the December 2025 acquisition of The Reject Shop in Australia. We view this as a temporary headwind, not a structural impairment. Return on invested capital of approximately thirty percent versus a WACC of nine percent — a twenty-one percentage point spread — has widened in each of the past five consecutive years. The market is pricing permanent damage. We believe it is pricing a temporary headwind.</w:t>
      </w:r>
    </w:p>
    <w:p>
      <w:pPr>
        <w:spacing w:before="0" w:after="80"/>
      </w:pPr>
      <w:r>
        <w:rPr>
          <w:rFonts w:ascii="Times New Roman" w:cs="Times New Roman" w:eastAsia="Times New Roman" w:hAnsi="Times New Roman"/>
          <w:b w:val="false"/>
          <w:bCs w:val="false"/>
          <w:color w:val="000000"/>
          <w:sz w:val="22"/>
          <w:szCs w:val="22"/>
        </w:rPr>
        <w:t xml:space="preserve">Our recommendation is BUY with a target price of $212 CAD, implying approximately twenty-five percent upside from the current price of roughly $170. The investment case rests on three pillars: (1) a durable scale moat — 1,616 Canadian stores growing toward 2,200 by 2034, purchasing power no new entrant can replicate, and ninety percent of sales in non-discretionary consumables; (2) exceptional earnings quality — EPS CAGR of twenty-one percent, EBITDA margins of approximately thirty-three percent (three times the peer average), and free cash flow above $1.4 billion annually; (3) a visible international growth runway through Dollarcity in Latin America (632 stores, 60.1% owned) and The Reject Shop in Australia (~330 stores).</w:t>
      </w:r>
    </w:p>
    <w:p>
      <w:pPr>
        <w:spacing w:before="0" w:after="100"/>
      </w:pPr>
      <w:r>
        <w:rPr>
          <w:rFonts w:ascii="Times New Roman" w:cs="Times New Roman" w:eastAsia="Times New Roman" w:hAnsi="Times New Roman"/>
          <w:b w:val="false"/>
          <w:bCs w:val="false"/>
          <w:color w:val="000000"/>
          <w:sz w:val="22"/>
          <w:szCs w:val="22"/>
        </w:rPr>
        <w:t xml:space="preserve">The premium multiple of approximately twenty-nine times EV/EBITDA versus six to seven times for US peers reflects quality, not speculation. Dollar Tree earns an EBITDA margin of 11.9%. Dollar General earns 9.6%. Dollarama earns approximately 33%. The three principal risks — Reject Shop integration extending beyond FY2027, COGS inflation from China sourcing, and valuation multiple compression — are real but in our judgment are more than reflected in the current price.</w:t>
      </w:r>
    </w:p>
    <w:p>
      <w:r>
        <w:br w:type="page"/>
      </w:r>
    </w:p>
    <w:p>
      <w:pPr>
        <w:spacing w:before="0" w:after="80"/>
      </w:pPr>
      <w:r>
        <w:rPr>
          <w:rFonts w:ascii="Arial" w:cs="Arial" w:eastAsia="Arial" w:hAnsi="Arial"/>
          <w:b/>
          <w:bCs/>
          <w:color w:val="000000"/>
          <w:sz w:val="22"/>
          <w:szCs w:val="22"/>
        </w:rPr>
        <w:t xml:space="preserve">Section 2.A — Traditional Equity Research Analysis</w:t>
      </w:r>
    </w:p>
    <w:p>
      <w:pPr>
        <w:pStyle w:val="Heading2"/>
        <w:spacing w:before="160" w:after="80"/>
      </w:pPr>
      <w:r>
        <w:rPr>
          <w:rFonts w:ascii="Arial" w:cs="Arial" w:eastAsia="Arial" w:hAnsi="Arial"/>
          <w:b/>
          <w:bCs/>
          <w:color w:val="000000"/>
          <w:sz w:val="22"/>
          <w:szCs w:val="22"/>
          <w:u w:val="single"/>
        </w:rPr>
        <w:t xml:space="preserve">1.  Business Model and Competitive Moat</w:t>
      </w:r>
    </w:p>
    <w:p>
      <w:pPr>
        <w:spacing w:before="0" w:after="70"/>
      </w:pPr>
      <w:r>
        <w:rPr>
          <w:rFonts w:ascii="Times New Roman" w:cs="Times New Roman" w:eastAsia="Times New Roman" w:hAnsi="Times New Roman"/>
          <w:b w:val="false"/>
          <w:bCs w:val="false"/>
          <w:color w:val="000000"/>
          <w:sz w:val="22"/>
          <w:szCs w:val="22"/>
        </w:rPr>
        <w:t xml:space="preserve">Dollarama operates a high-volume, low-cost fixed-price discount retail model with every product priced between $1.25 and $5.00 CAD. Approximately ninety percent of sales come from consumables, anchoring demand in non-discretionary spending largely insensitive to economic cycles. Opening a new store requires approximately $0.92 million; those stores typically generate approximately $3.2 million in annual sales within two years, implying a two-year payback. Capital expenditure runs at three to four percent of revenue while the company opens forty to sixty new stores per year.</w:t>
      </w:r>
    </w:p>
    <w:p>
      <w:pPr>
        <w:spacing w:before="0" w:after="80"/>
      </w:pPr>
      <w:r>
        <w:rPr>
          <w:rFonts w:ascii="Times New Roman" w:cs="Times New Roman" w:eastAsia="Times New Roman" w:hAnsi="Times New Roman"/>
          <w:b w:val="false"/>
          <w:bCs w:val="false"/>
          <w:color w:val="000000"/>
          <w:sz w:val="22"/>
          <w:szCs w:val="22"/>
        </w:rPr>
        <w:t xml:space="preserve">As Canada's largest fixed-price buyer, Dollarama sources directly from over 3,000 manufacturers and dictates price rather than accepting it. No meaningful fixed-price competitor exists at national scale in Canada. The $5.00 price ceiling is the brand's most powerful competitive barrier: it prevents management from trading up and makes competitive entry economically unattractive. Porter's Five Forces confirms low competitive rivalry, low threat of new entrants, low supplier power, and low buyer power.</w:t>
      </w:r>
    </w:p>
    <w:p>
      <w:pPr>
        <w:pStyle w:val="Heading2"/>
        <w:spacing w:before="160" w:after="80"/>
      </w:pPr>
      <w:r>
        <w:rPr>
          <w:rFonts w:ascii="Arial" w:cs="Arial" w:eastAsia="Arial" w:hAnsi="Arial"/>
          <w:b/>
          <w:bCs/>
          <w:color w:val="000000"/>
          <w:sz w:val="22"/>
          <w:szCs w:val="22"/>
          <w:u w:val="single"/>
        </w:rPr>
        <w:t xml:space="preserve">2.  Corporate Governance</w:t>
      </w:r>
    </w:p>
    <w:p>
      <w:pPr>
        <w:spacing w:before="0" w:after="80"/>
      </w:pPr>
      <w:r>
        <w:rPr>
          <w:rFonts w:ascii="Times New Roman" w:cs="Times New Roman" w:eastAsia="Times New Roman" w:hAnsi="Times New Roman"/>
          <w:b w:val="false"/>
          <w:bCs w:val="false"/>
          <w:color w:val="000000"/>
          <w:sz w:val="22"/>
          <w:szCs w:val="22"/>
        </w:rPr>
        <w:t xml:space="preserve">Neil Rossy serves as CEO, representing the third generation of the founding family's leadership. Management and board insiders collectively hold approximately ten percent of outstanding shares. The company has met or exceeded its own financial guidance for five consecutive fiscal years. In FY2025 management raised the quarterly dividend by fifteen percent — a signal of cash flow confidence that is difficult to manufacture. Executive compensation is tied to equity ownership and performance.</w:t>
      </w:r>
    </w:p>
    <w:p>
      <w:pPr>
        <w:pStyle w:val="Heading2"/>
        <w:spacing w:before="160" w:after="80"/>
      </w:pPr>
      <w:r>
        <w:rPr>
          <w:rFonts w:ascii="Arial" w:cs="Arial" w:eastAsia="Arial" w:hAnsi="Arial"/>
          <w:b/>
          <w:bCs/>
          <w:color w:val="000000"/>
          <w:sz w:val="22"/>
          <w:szCs w:val="22"/>
          <w:u w:val="single"/>
        </w:rPr>
        <w:t xml:space="preserve">3.  Industry Analysis and Macro Context</w:t>
      </w:r>
    </w:p>
    <w:p>
      <w:pPr>
        <w:spacing w:before="0" w:after="80"/>
      </w:pPr>
      <w:r>
        <w:rPr>
          <w:rFonts w:ascii="Times New Roman" w:cs="Times New Roman" w:eastAsia="Times New Roman" w:hAnsi="Times New Roman"/>
          <w:b w:val="false"/>
          <w:bCs w:val="false"/>
          <w:color w:val="000000"/>
          <w:sz w:val="22"/>
          <w:szCs w:val="22"/>
        </w:rPr>
        <w:t xml:space="preserve">Dollarama operates in the discount variety retail sector, which tends to outperform during periods of household budget pressure. The Bank of Canada has cut its policy rate from a peak of five percent to two-point-seventy-five percent, and Canada-US trade tensions reinforce domestic spending. With over ninety-five percent of revenue within Canada, Dollarama is largely insulated from cross-border retail disruption. In FY2026 Dollarama grew revenue 13.1% versus Dollar Tree at 2.1% and Dollar General at 4.8% — three times the market rate in a sector it dominates.</w:t>
      </w:r>
    </w:p>
    <w:p>
      <w:pPr>
        <w:pStyle w:val="Heading2"/>
        <w:spacing w:before="160" w:after="80"/>
      </w:pPr>
      <w:r>
        <w:rPr>
          <w:rFonts w:ascii="Arial" w:cs="Arial" w:eastAsia="Arial" w:hAnsi="Arial"/>
          <w:b/>
          <w:bCs/>
          <w:color w:val="000000"/>
          <w:sz w:val="22"/>
          <w:szCs w:val="22"/>
          <w:u w:val="single"/>
        </w:rPr>
        <w:t xml:space="preserve">4.  Risk Factors</w:t>
      </w:r>
    </w:p>
    <w:p>
      <w:pPr>
        <w:pStyle w:val="ListParagraph"/>
        <w:numPr>
          <w:ilvl w:val="0"/>
          <w:numId w:val="2"/>
        </w:numPr>
        <w:spacing w:after="70"/>
      </w:pPr>
      <w:r>
        <w:rPr>
          <w:rFonts w:ascii="Times New Roman" w:cs="Times New Roman" w:eastAsia="Times New Roman" w:hAnsi="Times New Roman"/>
          <w:b w:val="false"/>
          <w:bCs w:val="false"/>
          <w:color w:val="000000"/>
          <w:sz w:val="22"/>
          <w:szCs w:val="22"/>
        </w:rPr>
        <w:t xml:space="preserve">Reject Shop integration drag.  FY2026 EBITDA margin dipped 170bps from Australian mix dilution. Our model assumes recovery to approximately 33% by FY2027. If recovery extends materially beyond FY2027, our DCF assumptions are too optimistic and the target price requires revision. This is the most sensitive variable in the analysis.</w:t>
      </w:r>
    </w:p>
    <w:p>
      <w:pPr>
        <w:pStyle w:val="ListParagraph"/>
        <w:numPr>
          <w:ilvl w:val="0"/>
          <w:numId w:val="2"/>
        </w:numPr>
        <w:spacing w:after="70"/>
      </w:pPr>
      <w:r>
        <w:rPr>
          <w:rFonts w:ascii="Times New Roman" w:cs="Times New Roman" w:eastAsia="Times New Roman" w:hAnsi="Times New Roman"/>
          <w:b w:val="false"/>
          <w:bCs w:val="false"/>
          <w:color w:val="000000"/>
          <w:sz w:val="22"/>
          <w:szCs w:val="22"/>
        </w:rPr>
        <w:t xml:space="preserve">COGS inflation and China sourcing exposure.  The $5.00 CAD ceiling limits the ability to pass through input cost increases. CEO Neil Rossy stated in March 2026 that price increases would only be implemented where absolutely necessary. A sustained tariff shock would compress margins directly.</w:t>
      </w:r>
    </w:p>
    <w:p>
      <w:pPr>
        <w:pStyle w:val="ListParagraph"/>
        <w:numPr>
          <w:ilvl w:val="0"/>
          <w:numId w:val="2"/>
        </w:numPr>
        <w:spacing w:after="70"/>
      </w:pPr>
      <w:r>
        <w:rPr>
          <w:rFonts w:ascii="Times New Roman" w:cs="Times New Roman" w:eastAsia="Times New Roman" w:hAnsi="Times New Roman"/>
          <w:b w:val="false"/>
          <w:bCs w:val="false"/>
          <w:color w:val="000000"/>
          <w:sz w:val="22"/>
          <w:szCs w:val="22"/>
        </w:rPr>
        <w:t xml:space="preserve">Valuation multiple compression.  Even if the business performs exactly to plan, a broad market re-rating could compress the 29× EV/EBITDA multiple. This is a valuation risk, not a business risk. It affects return timing rather than the ultimate outcome.</w:t>
      </w:r>
    </w:p>
    <w:p>
      <w:r>
        <w:br w:type="page"/>
      </w:r>
    </w:p>
    <w:p>
      <w:pPr>
        <w:pStyle w:val="Heading2"/>
        <w:spacing w:before="160" w:after="80"/>
      </w:pPr>
      <w:r>
        <w:rPr>
          <w:rFonts w:ascii="Arial" w:cs="Arial" w:eastAsia="Arial" w:hAnsi="Arial"/>
          <w:b/>
          <w:bCs/>
          <w:color w:val="000000"/>
          <w:sz w:val="22"/>
          <w:szCs w:val="22"/>
          <w:u w:val="single"/>
        </w:rPr>
        <w:t xml:space="preserve">5.  Balance Sheet Analysis</w:t>
      </w:r>
    </w:p>
    <w:p>
      <w:pPr>
        <w:spacing w:before="0" w:after="80"/>
      </w:pPr>
      <w:r>
        <w:rPr>
          <w:rFonts w:ascii="Times New Roman" w:cs="Times New Roman" w:eastAsia="Times New Roman" w:hAnsi="Times New Roman"/>
          <w:b w:val="false"/>
          <w:bCs w:val="false"/>
          <w:color w:val="000000"/>
          <w:sz w:val="22"/>
          <w:szCs w:val="22"/>
        </w:rPr>
        <w:t xml:space="preserve">Dollarama's financial position strengthened materially between FY2022 and FY2025. Total assets grew from $4.06B to $6.48B. Shareholders' equity improved from negative $66 million in FY2022 to positive $1.19 billion in FY2025. The negative equity in FY2022 was not financial distress — it reflected aggressive share buybacks exceeding retained earnings, a form of capital return reflecting management confidence. The current ratio rose from 0.79× to 1.18×, and net debt to EBITDA declined from 2.71× to 1.08× — a near-complete deleveraging from organic cash generation alone. Interest coverage reached 14×. The FY2026 balance sheet expands with The Reject Shop acquisition (total assets ~$9.2B, total debt ~$5.4B), but the underlying cash generation makes this leverage manageable.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140"/>
        <w:gridCol w:w="1140"/>
        <w:gridCol w:w="1140"/>
        <w:gridCol w:w="3420"/>
      </w:tblGrid>
      <w:tr>
        <w:tc>
          <w:tcPr>
            <w:tcW w:type="dxa" w:w="25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Balance Sheet Item</w:t>
            </w:r>
          </w:p>
        </w:tc>
        <w:tc>
          <w:tcPr>
            <w:tcW w:type="dxa" w:w="1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FY2022</w:t>
            </w:r>
          </w:p>
        </w:tc>
        <w:tc>
          <w:tcPr>
            <w:tcW w:type="dxa" w:w="1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FY2025</w:t>
            </w:r>
          </w:p>
        </w:tc>
        <w:tc>
          <w:tcPr>
            <w:tcW w:type="dxa" w:w="1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FY2026E</w:t>
            </w:r>
          </w:p>
        </w:tc>
        <w:tc>
          <w:tcPr>
            <w:tcW w:type="dxa" w:w="34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Comment</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Total Assets</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$4.06B</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$6.48B</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$9.20B</w:t>
            </w:r>
          </w:p>
        </w:tc>
        <w:tc>
          <w:tcPr>
            <w:tcW w:type="dxa" w:w="34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Reject Shop acquisition</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Shareholders' Equity</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$(0.07)B</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$1.19B</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$1.50B</w:t>
            </w:r>
          </w:p>
        </w:tc>
        <w:tc>
          <w:tcPr>
            <w:tcW w:type="dxa" w:w="34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Buybacks &gt; earnings in FY2022, not distress</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Total Debt</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$3.61B</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$4.71B</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$5.40B</w:t>
            </w:r>
          </w:p>
        </w:tc>
        <w:tc>
          <w:tcPr>
            <w:tcW w:type="dxa" w:w="34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Elevated post-acquisition; manageable</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Current Ratio</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0.79×</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1.18×</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~1.31×</w:t>
            </w:r>
          </w:p>
        </w:tc>
        <w:tc>
          <w:tcPr>
            <w:tcW w:type="dxa" w:w="34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Improved significantly</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Net Debt / EBITDA</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2.71×</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1.08×</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~2.17×</w:t>
            </w:r>
          </w:p>
        </w:tc>
        <w:tc>
          <w:tcPr>
            <w:tcW w:type="dxa" w:w="34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Acquisition spike; declining trend</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Interest Coverage</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8.2×</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14.0×</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~9.3×</w:t>
            </w:r>
          </w:p>
        </w:tc>
        <w:tc>
          <w:tcPr>
            <w:tcW w:type="dxa" w:w="34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Strong throughout</w:t>
            </w:r>
          </w:p>
        </w:tc>
      </w:tr>
    </w:tbl>
    <w:p>
      <w:pPr>
        <w:spacing w:before="40" w:after="80"/>
      </w:pPr>
      <w:r>
        <w:rPr>
          <w:rFonts w:ascii="Times New Roman" w:cs="Times New Roman" w:eastAsia="Times New Roman" w:hAnsi="Times New Roman"/>
          <w:b w:val="false"/>
          <w:bCs w:val="false"/>
          <w:color w:val="000000"/>
          <w:sz w:val="17"/>
          <w:szCs w:val="17"/>
        </w:rPr>
        <w:t xml:space="preserve">Sources: Yahoo Finance (yfinance) FY2022–FY2025; Dollarama IR press releases FY2026 Q1–Q3 actual + Q4 consensus.</w:t>
      </w:r>
    </w:p>
    <w:p>
      <w:pPr>
        <w:pStyle w:val="Heading2"/>
        <w:spacing w:before="160" w:after="80"/>
      </w:pPr>
      <w:r>
        <w:rPr>
          <w:rFonts w:ascii="Arial" w:cs="Arial" w:eastAsia="Arial" w:hAnsi="Arial"/>
          <w:b/>
          <w:bCs/>
          <w:color w:val="000000"/>
          <w:sz w:val="22"/>
          <w:szCs w:val="22"/>
          <w:u w:val="single"/>
        </w:rPr>
        <w:t xml:space="preserve">6.  Capital Allocation, Intensity, and ROIC</w:t>
      </w:r>
    </w:p>
    <w:p>
      <w:pPr>
        <w:spacing w:before="0" w:after="80"/>
      </w:pPr>
      <w:r>
        <w:rPr>
          <w:rFonts w:ascii="Times New Roman" w:cs="Times New Roman" w:eastAsia="Times New Roman" w:hAnsi="Times New Roman"/>
          <w:b w:val="false"/>
          <w:bCs w:val="false"/>
          <w:color w:val="000000"/>
          <w:sz w:val="22"/>
          <w:szCs w:val="22"/>
        </w:rPr>
        <w:t xml:space="preserve">Dollarama's capital allocation profile is among the strongest in Canadian retail. CapEx runs at three to four percent of revenue while the company opens forty to sixty new stores per year. Each store reaches approximately $3.2M in annual sales within two years on $0.92M of investment. Management has reduced the diluted share count by approximately twelve percent over five years, amplifying EPS growth well above revenue growth. Return on invested capital — computed as EBIT × (1 − tax rate) ÷ (total assets − current liabilities − cash), the correct formula for a company with historically negative book equity — was approximately 40% in FY2022, 38% in FY2025, and approximately 28% in FY2026 reflecting the higher capital base post-Reject Shop acquisition. The FY2025 ROIC of 38% against WACC of 9% represents a twenty-nine percentage point value-creation spread that has widened in each of the preceding five years.</w:t>
      </w:r>
    </w:p>
    <w:p>
      <w:pPr>
        <w:pStyle w:val="Heading2"/>
        <w:spacing w:before="160" w:after="80"/>
      </w:pPr>
      <w:r>
        <w:rPr>
          <w:rFonts w:ascii="Arial" w:cs="Arial" w:eastAsia="Arial" w:hAnsi="Arial"/>
          <w:b/>
          <w:bCs/>
          <w:color w:val="000000"/>
          <w:sz w:val="22"/>
          <w:szCs w:val="22"/>
          <w:u w:val="single"/>
        </w:rPr>
        <w:t xml:space="preserve">7.  Income Statement Performance (FY2022–FY2026)</w:t>
      </w:r>
    </w:p>
    <w:p>
      <w:pPr>
        <w:spacing w:before="0" w:after="80"/>
      </w:pPr>
      <w:r>
        <w:rPr>
          <w:rFonts w:ascii="Times New Roman" w:cs="Times New Roman" w:eastAsia="Times New Roman" w:hAnsi="Times New Roman"/>
          <w:b w:val="false"/>
          <w:bCs w:val="false"/>
          <w:color w:val="000000"/>
          <w:sz w:val="22"/>
          <w:szCs w:val="22"/>
        </w:rPr>
        <w:t xml:space="preserve">Revenue grew from $4.33B in FY2022 to $7.26B in FY2026 — a CAGR of 14%, exceeding the five percent rubric threshold in every single year. EPS grew from $2.18 to $4.76 — a CAGR of 21%, exceeding the seven percent rubric threshold by fourteen percentage points annually. EBITDA margin expanded from 29.6% in FY2022 to 33.5% in FY2025 before dipping to 32.9% in FY2026 due to Reject Shop integration costs. Free cash flow conversion has exceeded one hundred percent of net income in multiple years.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80"/>
        <w:gridCol w:w="1020"/>
        <w:gridCol w:w="1020"/>
        <w:gridCol w:w="1020"/>
        <w:gridCol w:w="1020"/>
        <w:gridCol w:w="1020"/>
        <w:gridCol w:w="1020"/>
      </w:tblGrid>
      <w:tr>
        <w:tc>
          <w:tcPr>
            <w:tcW w:type="dxa" w:w="198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Metric</w:t>
            </w:r>
          </w:p>
        </w:tc>
        <w:tc>
          <w:tcPr>
            <w:tcW w:type="dxa" w:w="10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FY2022</w:t>
            </w:r>
          </w:p>
        </w:tc>
        <w:tc>
          <w:tcPr>
            <w:tcW w:type="dxa" w:w="10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FY2023</w:t>
            </w:r>
          </w:p>
        </w:tc>
        <w:tc>
          <w:tcPr>
            <w:tcW w:type="dxa" w:w="10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FY2024</w:t>
            </w:r>
          </w:p>
        </w:tc>
        <w:tc>
          <w:tcPr>
            <w:tcW w:type="dxa" w:w="10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FY2025</w:t>
            </w:r>
          </w:p>
        </w:tc>
        <w:tc>
          <w:tcPr>
            <w:tcW w:type="dxa" w:w="10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FY2026A</w:t>
            </w:r>
          </w:p>
        </w:tc>
        <w:tc>
          <w:tcPr>
            <w:tcW w:type="dxa" w:w="10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CAGR</w:t>
            </w:r>
          </w:p>
        </w:tc>
      </w:tr>
      <w:tr>
        <w:tc>
          <w:tcPr>
            <w:tcW w:type="dxa" w:w="19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Revenue ($B)</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$4.33</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$5.05</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$5.87</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$6.41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$7.26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14% ✓</w:t>
            </w:r>
          </w:p>
        </w:tc>
      </w:tr>
      <w:tr>
        <w:tc>
          <w:tcPr>
            <w:tcW w:type="dxa" w:w="19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EBITDA ($B)</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$1.28</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$1.53</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$1.88</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$2.15</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$2.39</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17%</w:t>
            </w:r>
          </w:p>
        </w:tc>
      </w:tr>
      <w:tr>
        <w:tc>
          <w:tcPr>
            <w:tcW w:type="dxa" w:w="19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EBITDA Margin</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29.6%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30.3%</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32.1%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33.5%</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32.9%†</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Expanding</w:t>
            </w:r>
          </w:p>
        </w:tc>
      </w:tr>
      <w:tr>
        <w:tc>
          <w:tcPr>
            <w:tcW w:type="dxa" w:w="19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Net Income ($B)</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$0.66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$0.80</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$1.01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$1.17</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$1.31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19%</w:t>
            </w:r>
          </w:p>
        </w:tc>
      </w:tr>
      <w:tr>
        <w:tc>
          <w:tcPr>
            <w:tcW w:type="dxa" w:w="19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Net Margin</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15.3%</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15.9%</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17.2%</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18.2%</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18.1%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Expanding</w:t>
            </w:r>
          </w:p>
        </w:tc>
      </w:tr>
      <w:tr>
        <w:tc>
          <w:tcPr>
            <w:tcW w:type="dxa" w:w="19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Diluted EPS ($)</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$2.18</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$2.76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$3.56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$4.16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$4.76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21% ✓</w:t>
            </w:r>
          </w:p>
        </w:tc>
      </w:tr>
      <w:tr>
        <w:tc>
          <w:tcPr>
            <w:tcW w:type="dxa" w:w="19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FCF ($B)</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$1.00</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$0.71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$1.25</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$1.40</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$1.38</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w:t>
            </w:r>
          </w:p>
        </w:tc>
      </w:tr>
    </w:tbl>
    <w:p>
      <w:pPr>
        <w:spacing w:before="40" w:after="80"/>
      </w:pPr>
      <w:r>
        <w:rPr>
          <w:rFonts w:ascii="Times New Roman" w:cs="Times New Roman" w:eastAsia="Times New Roman" w:hAnsi="Times New Roman"/>
          <w:b w:val="false"/>
          <w:bCs w:val="false"/>
          <w:color w:val="000000"/>
          <w:sz w:val="17"/>
          <w:szCs w:val="17"/>
        </w:rPr>
        <w:t xml:space="preserve">† FY2026 EBITDA margin dip reflects Reject Shop acquisition integration. Recovery to ~33% modelled by FY2027. ✓ = exceeds rubric threshold (&gt;5% revenue / &gt;7% EPS). FY2022–FY2025: Yahoo Finance. FY2026: Dollarama IR Q1–Q3 actuals + Q4 consensus.</w:t>
      </w:r>
    </w:p>
    <w:p>
      <w:r>
        <w:br w:type="page"/>
      </w:r>
    </w:p>
    <w:p>
      <w:pPr>
        <w:pStyle w:val="Heading2"/>
        <w:spacing w:before="160" w:after="80"/>
      </w:pPr>
      <w:r>
        <w:rPr>
          <w:rFonts w:ascii="Arial" w:cs="Arial" w:eastAsia="Arial" w:hAnsi="Arial"/>
          <w:b/>
          <w:bCs/>
          <w:color w:val="000000"/>
          <w:sz w:val="22"/>
          <w:szCs w:val="22"/>
          <w:u w:val="single"/>
        </w:rPr>
        <w:t xml:space="preserve">8.  Trend Analysis — Rubric Threshold Assessment</w:t>
      </w:r>
    </w:p>
    <w:p>
      <w:pPr>
        <w:spacing w:before="0" w:after="80"/>
      </w:pPr>
      <w:r>
        <w:rPr>
          <w:rFonts w:ascii="Times New Roman" w:cs="Times New Roman" w:eastAsia="Times New Roman" w:hAnsi="Times New Roman"/>
          <w:b w:val="false"/>
          <w:bCs w:val="false"/>
          <w:color w:val="000000"/>
          <w:sz w:val="22"/>
          <w:szCs w:val="22"/>
        </w:rPr>
        <w:t xml:space="preserve">Revenue growth exceeded the five percent rubric threshold in every year: 16.7% in FY2023, 16.1% in FY2024, 9.3% in FY2025, and 13.1% in FY2026. The four-year CAGR of 14% exceeds the threshold by nine percentage points. EPS grew 20.9% in FY2023, 26% in FY2024, 15.6% in FY2025, and 12.1% in FY2026 — exceeding the seven percent rubric threshold by a substantial margin in every year. Shareholder earnings approximate twenty-two percent annually against the ten percent rubric threshold. Not one of these metrics is borderline.</w:t>
      </w:r>
    </w:p>
    <w:p>
      <w:pPr>
        <w:pStyle w:val="Heading2"/>
        <w:spacing w:before="160" w:after="80"/>
      </w:pPr>
      <w:r>
        <w:rPr>
          <w:rFonts w:ascii="Arial" w:cs="Arial" w:eastAsia="Arial" w:hAnsi="Arial"/>
          <w:b/>
          <w:bCs/>
          <w:color w:val="000000"/>
          <w:sz w:val="22"/>
          <w:szCs w:val="22"/>
          <w:u w:val="single"/>
        </w:rPr>
        <w:t xml:space="preserve">9.  Valuation Analysis</w:t>
      </w:r>
    </w:p>
    <w:p>
      <w:pPr>
        <w:spacing w:before="0" w:after="70"/>
      </w:pPr>
      <w:r>
        <w:rPr>
          <w:rFonts w:ascii="Times New Roman" w:cs="Times New Roman" w:eastAsia="Times New Roman" w:hAnsi="Times New Roman"/>
          <w:b w:val="false"/>
          <w:bCs w:val="false"/>
          <w:color w:val="000000"/>
          <w:sz w:val="22"/>
          <w:szCs w:val="22"/>
        </w:rPr>
        <w:t xml:space="preserve">Dollarama currently trades at approximately twenty-nine to thirty-one times EV/EBITDA, forty-one times trailing earnings, and seven-point-five times price-to-sales — all significantly above sector benchmarks. The correct analytical question is not whether these multiples are high, but whether they are justified by the quality of the business. Dollarama earns ~33% EBITDA margin versus 11.9% for Dollar Tree and 9.6% for Dollar General. Its ROIC is roughly double that of its closest US peers. Its revenue growth is running at three times the rate of either peer.</w:t>
      </w:r>
    </w:p>
    <w:p>
      <w:pPr>
        <w:spacing w:before="0" w:after="70"/>
      </w:pPr>
      <w:r>
        <w:rPr>
          <w:rFonts w:ascii="Times New Roman" w:cs="Times New Roman" w:eastAsia="Times New Roman" w:hAnsi="Times New Roman"/>
          <w:b w:val="false"/>
          <w:bCs w:val="false"/>
          <w:color w:val="000000"/>
          <w:sz w:val="22"/>
          <w:szCs w:val="22"/>
        </w:rPr>
        <w:t xml:space="preserve">Our primary valuation approach is an EV/EBITDA multiple analysis. Applying the current market multiple of approximately 29× to FY2026 EBITDA of $2.39 billion produces an enterprise value of approximately $69 billion, implying an equity value of approximately $212 per share (277 million diluted shares, $5.1 billion net debt). Our secondary approach is a DCF model using a deliberately conservative WACC of nine percent — nearly double the CAPM-calculated rate of 4.94% — which produces a price floor of approximately $96 to $153 depending on assumptions, confirming that the downside is well supported even under significant stress. The $212 target is driven by the multiple approach and corroborated by the Monte Carlo simulation median. See Appendix A2 for full WACC derivation and DCF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260"/>
        <w:gridCol w:w="1440"/>
        <w:gridCol w:w="2700"/>
      </w:tblGrid>
      <w:tr>
        <w:tc>
          <w:tcPr>
            <w:tcW w:type="dxa" w:w="25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Company</w:t>
            </w:r>
          </w:p>
        </w:tc>
        <w:tc>
          <w:tcPr>
            <w:tcW w:type="dxa" w:w="14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EBITDA Margin</w:t>
            </w:r>
          </w:p>
        </w:tc>
        <w:tc>
          <w:tcPr>
            <w:tcW w:type="dxa" w:w="12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ROIC</w:t>
            </w:r>
          </w:p>
        </w:tc>
        <w:tc>
          <w:tcPr>
            <w:tcW w:type="dxa" w:w="14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EV/EBITDA</w:t>
            </w:r>
          </w:p>
        </w:tc>
        <w:tc>
          <w:tcPr>
            <w:tcW w:type="dxa" w:w="270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Source</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Dollarama (DOL.TO)</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~33%</w:t>
            </w:r>
          </w:p>
        </w:tc>
        <w:tc>
          <w:tcPr>
            <w:tcW w:type="dxa" w:w="12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~30%</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~29–31×</w:t>
            </w:r>
          </w:p>
        </w:tc>
        <w:tc>
          <w:tcPr>
            <w:tcW w:type="dxa" w:w="27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Yahoo Finance (yfinance)</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Dollar Tree (DLTR)</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11.9%</w:t>
            </w:r>
          </w:p>
        </w:tc>
        <w:tc>
          <w:tcPr>
            <w:tcW w:type="dxa" w:w="12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13.6%</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6.5×</w:t>
            </w:r>
          </w:p>
        </w:tc>
        <w:tc>
          <w:tcPr>
            <w:tcW w:type="dxa" w:w="27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SEC FY2025 10-K†</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Dollar General (DG)</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9.6%</w:t>
            </w:r>
          </w:p>
        </w:tc>
        <w:tc>
          <w:tcPr>
            <w:tcW w:type="dxa" w:w="12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15.2%</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7.4×</w:t>
            </w:r>
          </w:p>
        </w:tc>
        <w:tc>
          <w:tcPr>
            <w:tcW w:type="dxa" w:w="27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SEC FY2025 10-K</w:t>
            </w:r>
          </w:p>
        </w:tc>
      </w:tr>
    </w:tbl>
    <w:p>
      <w:pPr>
        <w:spacing w:before="40" w:after="80"/>
      </w:pPr>
      <w:r>
        <w:rPr>
          <w:rFonts w:ascii="Times New Roman" w:cs="Times New Roman" w:eastAsia="Times New Roman" w:hAnsi="Times New Roman"/>
          <w:b w:val="false"/>
          <w:bCs w:val="false"/>
          <w:color w:val="000000"/>
          <w:sz w:val="17"/>
          <w:szCs w:val="17"/>
        </w:rPr>
        <w:t xml:space="preserve">† DLTR FY2025 net loss reflects a $4.27B non-operational goodwill impairment on Family Dollar. Excluded from earnings quality comparison.</w:t>
      </w:r>
    </w:p>
    <w:p>
      <w:pPr>
        <w:pStyle w:val="Heading2"/>
        <w:spacing w:before="160" w:after="80"/>
      </w:pPr>
      <w:r>
        <w:rPr>
          <w:rFonts w:ascii="Arial" w:cs="Arial" w:eastAsia="Arial" w:hAnsi="Arial"/>
          <w:b/>
          <w:bCs/>
          <w:color w:val="000000"/>
          <w:sz w:val="22"/>
          <w:szCs w:val="22"/>
          <w:u w:val="single"/>
        </w:rPr>
        <w:t xml:space="preserve">10.  Forward Guidance and Shareholder Value Creation</w:t>
      </w:r>
    </w:p>
    <w:p>
      <w:pPr>
        <w:spacing w:before="0" w:after="70"/>
      </w:pPr>
      <w:r>
        <w:rPr>
          <w:rFonts w:ascii="Times New Roman" w:cs="Times New Roman" w:eastAsia="Times New Roman" w:hAnsi="Times New Roman"/>
          <w:b w:val="false"/>
          <w:bCs w:val="false"/>
          <w:color w:val="000000"/>
          <w:sz w:val="22"/>
          <w:szCs w:val="22"/>
        </w:rPr>
        <w:t xml:space="preserve">Dollarama operates 1,616 stores in Canada with a long-term target of approximately 2,200 by 2034. Through 60.1% ownership of Dollarcity, the company participates in Latin American value retail (632 stores, targeting 1,000+ by 2031, entering Mexico). The Reject Shop acquisition establishes a third international platform in Australia. Forward EPS growth projections of 10.6% for FY2027 and 11.5% for FY2028 exceed the seven percent rubric threshold, implying shareholder earnings of approximately twelve percent annually — continuing to exceed the ten percent rubric benchmark.</w:t>
      </w:r>
    </w:p>
    <w:p>
      <w:pPr>
        <w:spacing w:before="0" w:after="100"/>
      </w:pPr>
      <w:r>
        <w:rPr>
          <w:rFonts w:ascii="Times New Roman" w:cs="Times New Roman" w:eastAsia="Times New Roman" w:hAnsi="Times New Roman"/>
          <w:b w:val="false"/>
          <w:bCs w:val="false"/>
          <w:color w:val="000000"/>
          <w:sz w:val="22"/>
          <w:szCs w:val="22"/>
        </w:rPr>
        <w:t xml:space="preserve">Since listing at $17.00 CAD in October 2009, the stock has compounded at approximately twenty-seven percent per year over sixteen years. A $10,000 investment at IPO is worth approximately $100,000 today. Shareholder earnings (EPS growth + dividend yield) approximate twenty-two percent annually — more than double the ten percent rubric threshold. This has been true consistently across multiple economic cycles.</w:t>
      </w:r>
    </w:p>
    <w:p>
      <w:r>
        <w:br w:type="page"/>
      </w:r>
    </w:p>
    <w:p>
      <w:pPr>
        <w:spacing w:before="0" w:after="80"/>
      </w:pPr>
      <w:r>
        <w:rPr>
          <w:rFonts w:ascii="Arial" w:cs="Arial" w:eastAsia="Arial" w:hAnsi="Arial"/>
          <w:b/>
          <w:bCs/>
          <w:color w:val="000000"/>
          <w:sz w:val="22"/>
          <w:szCs w:val="22"/>
        </w:rPr>
        <w:t xml:space="preserve">Section 2.B — AI-Assisted Equity Research Analysis</w:t>
      </w:r>
    </w:p>
    <w:p>
      <w:pPr>
        <w:spacing w:before="0" w:after="80"/>
      </w:pPr>
      <w:r>
        <w:rPr>
          <w:rFonts w:ascii="Times New Roman" w:cs="Times New Roman" w:eastAsia="Times New Roman" w:hAnsi="Times New Roman"/>
          <w:b w:val="false"/>
          <w:bCs w:val="false"/>
          <w:color w:val="000000"/>
          <w:sz w:val="22"/>
          <w:szCs w:val="22"/>
        </w:rPr>
        <w:t xml:space="preserve">In addition to the traditional analysis in Section 2.A, AI-assisted tools were incorporated as a separate and clearly labelled analytical layer. All tools are treated as analytical assistants, not decision-makers. Results are evaluated against the traditional analysis as the benchmark. The critical evaluation follows in Section 2.C.</w:t>
      </w:r>
    </w:p>
    <w:p>
      <w:pPr>
        <w:spacing w:before="120" w:after="60"/>
      </w:pPr>
      <w:r>
        <w:rPr>
          <w:rFonts w:ascii="Arial" w:cs="Arial" w:eastAsia="Arial" w:hAnsi="Arial"/>
          <w:b/>
          <w:bCs/>
          <w:color w:val="000000"/>
          <w:sz w:val="22"/>
          <w:szCs w:val="22"/>
        </w:rPr>
        <w:t xml:space="preserve">AI Tool 1 — EBITDA Margin Trend Detection</w:t>
      </w:r>
    </w:p>
    <w:p>
      <w:pPr>
        <w:spacing w:before="0" w:after="80"/>
      </w:pPr>
      <w:r>
        <w:rPr>
          <w:rFonts w:ascii="Times New Roman" w:cs="Times New Roman" w:eastAsia="Times New Roman" w:hAnsi="Times New Roman"/>
          <w:b w:val="false"/>
          <w:bCs w:val="false"/>
          <w:color w:val="000000"/>
          <w:sz w:val="22"/>
          <w:szCs w:val="22"/>
        </w:rPr>
        <w:t xml:space="preserve">We used an AI analytical tool to scan five years of Dollarama financial statements and identify the primary profitability trend. The tool correctly identified that EBITDA margin expanded in every year from FY2022 (29.6%) to FY2025 (33.5%) and flagged the FY2026 dip to 32.9% as an anomaly requiring explanation. This output was accurate, fast, and useful as a starting point for deeper analysis.</w:t>
      </w:r>
    </w:p>
    <w:p>
      <w:pPr>
        <w:spacing w:before="120" w:after="60"/>
      </w:pPr>
      <w:r>
        <w:rPr>
          <w:rFonts w:ascii="Arial" w:cs="Arial" w:eastAsia="Arial" w:hAnsi="Arial"/>
          <w:b/>
          <w:bCs/>
          <w:color w:val="000000"/>
          <w:sz w:val="22"/>
          <w:szCs w:val="22"/>
        </w:rPr>
        <w:t xml:space="preserve">AI Tool 2 — DCF Intrinsic Value and Monte Carlo Simulation</w:t>
      </w:r>
    </w:p>
    <w:p>
      <w:pPr>
        <w:spacing w:before="0" w:after="80"/>
      </w:pPr>
      <w:r>
        <w:rPr>
          <w:rFonts w:ascii="Times New Roman" w:cs="Times New Roman" w:eastAsia="Times New Roman" w:hAnsi="Times New Roman"/>
          <w:b w:val="false"/>
          <w:bCs w:val="false"/>
          <w:color w:val="000000"/>
          <w:sz w:val="22"/>
          <w:szCs w:val="22"/>
        </w:rPr>
        <w:t xml:space="preserve">The AI generated a DCF model and Monte Carlo simulation across 5,000 paths. DCF parameters: WACC 9.0%, TGR 2.5%, Stage 1 FCF growth ~9% (capped historical CAGR), base FCF $1.40B (FY2025 actual), net financial debt $2.155B (excluding IFRS 16 lease liabilities), 277 million diluted shares. At WACC 9% the model produces a price floor of approximately $96 to $153. The $212 target is driven by the EV/EBITDA multiple approach. The Monte Carlo simulation produced a median outcome of approximately $212, consistent with the multiple-based target. Full methodology and percentile table are in Appendix A3.</w:t>
      </w:r>
    </w:p>
    <w:p>
      <w:pPr>
        <w:spacing w:before="120" w:after="60"/>
      </w:pPr>
      <w:r>
        <w:rPr>
          <w:rFonts w:ascii="Arial" w:cs="Arial" w:eastAsia="Arial" w:hAnsi="Arial"/>
          <w:b/>
          <w:bCs/>
          <w:color w:val="000000"/>
          <w:sz w:val="22"/>
          <w:szCs w:val="22"/>
        </w:rPr>
        <w:t xml:space="preserve">AI Tool 3 — NLP Sentiment Analysis on Earnings Call Transcripts (Tutorial 4)</w:t>
      </w:r>
    </w:p>
    <w:p>
      <w:pPr>
        <w:spacing w:before="0" w:after="80"/>
      </w:pPr>
      <w:r>
        <w:rPr>
          <w:rFonts w:ascii="Times New Roman" w:cs="Times New Roman" w:eastAsia="Times New Roman" w:hAnsi="Times New Roman"/>
          <w:b w:val="false"/>
          <w:bCs w:val="false"/>
          <w:color w:val="000000"/>
          <w:sz w:val="22"/>
          <w:szCs w:val="22"/>
        </w:rPr>
        <w:t xml:space="preserve">We applied natural language processing polarity scoring to five real Dollarama earnings call transcripts covering FY2022 through FY2026 Q3, sourced from Dollarama investor relations and Seeking Alpha. Polarity scores ranged from +1.8% in FY2022 (post-pandemic supply chain recovery year) to +5.1% in the FY2025 annual call (record EPS growth year). The FY2025 annual call contained zero negative sentiment words. Full results are in Appendix A4.</w:t>
      </w:r>
    </w:p>
    <w:p>
      <w:pPr>
        <w:spacing w:before="120" w:after="60"/>
      </w:pPr>
      <w:r>
        <w:rPr>
          <w:rFonts w:ascii="Arial" w:cs="Arial" w:eastAsia="Arial" w:hAnsi="Arial"/>
          <w:b/>
          <w:bCs/>
          <w:color w:val="000000"/>
          <w:sz w:val="22"/>
          <w:szCs w:val="22"/>
        </w:rPr>
        <w:t xml:space="preserve">AI Tool 4 — ML Price Model, Linear Regression (Tutorial 5)</w:t>
      </w:r>
    </w:p>
    <w:p>
      <w:pPr>
        <w:spacing w:before="0" w:after="100"/>
      </w:pPr>
      <w:r>
        <w:rPr>
          <w:rFonts w:ascii="Times New Roman" w:cs="Times New Roman" w:eastAsia="Times New Roman" w:hAnsi="Times New Roman"/>
          <w:b w:val="false"/>
          <w:bCs w:val="false"/>
          <w:color w:val="000000"/>
          <w:sz w:val="22"/>
          <w:szCs w:val="22"/>
        </w:rPr>
        <w:t xml:space="preserve">We implemented a linear regression model using a ten-day moving average and fourteen-day RSI as features, trained on five years of DOL.TO daily price history with a chronological 80/20 train/test split. The model achieved an R-squared of approximately 0.96 on the test set and an RMSE of approximately $6.42. The moving average coefficient was approximately 0.98. The critical assessment of this result is in Section 2.C.</w:t>
      </w:r>
    </w:p>
    <w:p>
      <w:r>
        <w:br w:type="page"/>
      </w:r>
    </w:p>
    <w:p>
      <w:pPr>
        <w:spacing w:before="0" w:after="80"/>
      </w:pPr>
      <w:r>
        <w:rPr>
          <w:rFonts w:ascii="Arial" w:cs="Arial" w:eastAsia="Arial" w:hAnsi="Arial"/>
          <w:b/>
          <w:bCs/>
          <w:color w:val="000000"/>
          <w:sz w:val="22"/>
          <w:szCs w:val="22"/>
        </w:rPr>
        <w:t xml:space="preserve">Section 2.C — Critical Evaluation of AI Outputs</w:t>
      </w:r>
    </w:p>
    <w:p>
      <w:pPr>
        <w:spacing w:before="0" w:after="80"/>
      </w:pPr>
      <w:r>
        <w:rPr>
          <w:rFonts w:ascii="Times New Roman" w:cs="Times New Roman" w:eastAsia="Times New Roman" w:hAnsi="Times New Roman"/>
          <w:b w:val="false"/>
          <w:bCs w:val="false"/>
          <w:color w:val="000000"/>
          <w:sz w:val="22"/>
          <w:szCs w:val="22"/>
        </w:rPr>
        <w:t xml:space="preserve">Using the traditional analysis in Section 2.A as the benchmark, this section evaluates each AI output against accounting logic and financial reasoning, addressing what was accepted, what was discarded, and the justification for each decision.</w:t>
      </w:r>
    </w:p>
    <w:p>
      <w:pPr>
        <w:spacing w:before="120" w:after="60"/>
      </w:pPr>
      <w:r>
        <w:rPr>
          <w:rFonts w:ascii="Arial" w:cs="Arial" w:eastAsia="Arial" w:hAnsi="Arial"/>
          <w:b/>
          <w:bCs/>
          <w:color w:val="000000"/>
          <w:sz w:val="22"/>
          <w:szCs w:val="22"/>
        </w:rPr>
        <w:t xml:space="preserve">Accepted: EBITDA Margin Trend Detection</w:t>
      </w:r>
    </w:p>
    <w:p>
      <w:pPr>
        <w:spacing w:before="0" w:after="70"/>
      </w:pPr>
      <w:r>
        <w:rPr>
          <w:rFonts w:ascii="Times New Roman" w:cs="Times New Roman" w:eastAsia="Times New Roman" w:hAnsi="Times New Roman"/>
          <w:b w:val="false"/>
          <w:bCs w:val="false"/>
          <w:color w:val="000000"/>
          <w:sz w:val="22"/>
          <w:szCs w:val="22"/>
        </w:rPr>
        <w:t xml:space="preserve">Correctly identified five consecutive years of EBITDA margin expansion and flagged the FY2026 dip as an anomaly. Confirmed against Dollarama IR annual reports. Retained as a primary pillar of the quality argument. AI contributed speed — initial trend identification was compressed from hours to minutes. However, the explanation for why margins consistently expand — scale-based purchasing power, fixed-price discipline, SG&amp;A suppression, and high inventory turnover — required domain knowledge the AI does not possess. Detection is not understanding.</w:t>
      </w:r>
    </w:p>
    <w:p>
      <w:pPr>
        <w:spacing w:before="120" w:after="60"/>
      </w:pPr>
      <w:r>
        <w:rPr>
          <w:rFonts w:ascii="Arial" w:cs="Arial" w:eastAsia="Arial" w:hAnsi="Arial"/>
          <w:b/>
          <w:bCs/>
          <w:color w:val="000000"/>
          <w:sz w:val="22"/>
          <w:szCs w:val="22"/>
        </w:rPr>
        <w:t xml:space="preserve">Accepted: Monte Carlo Simulation and NLP Sentiment</w:t>
      </w:r>
    </w:p>
    <w:p>
      <w:pPr>
        <w:spacing w:before="0" w:after="70"/>
      </w:pPr>
      <w:r>
        <w:rPr>
          <w:rFonts w:ascii="Times New Roman" w:cs="Times New Roman" w:eastAsia="Times New Roman" w:hAnsi="Times New Roman"/>
          <w:b w:val="false"/>
          <w:bCs w:val="false"/>
          <w:color w:val="000000"/>
          <w:sz w:val="22"/>
          <w:szCs w:val="22"/>
        </w:rPr>
        <w:t xml:space="preserve">The Monte Carlo simulation is methodologically sound (normal distribution for WACC, triangular distributions for FCF growth and TGR, bounds validated against analyst consensus). Median outcome of approximately $212 aligns with the EV/EBITDA target, providing a useful internal consistency check. Accepted as corroborating evidence. The NLP polarity scoring on five real earnings call transcripts confirmed directional consistency with the fundamental picture — high polarity in strong years, lower polarity during FY2022 supply chain headwinds. Accepted as supplementary corroboration. Neither was used as a valuation input.</w:t>
      </w:r>
    </w:p>
    <w:p>
      <w:pPr>
        <w:spacing w:before="120" w:after="60"/>
      </w:pPr>
      <w:r>
        <w:rPr>
          <w:rFonts w:ascii="Arial" w:cs="Arial" w:eastAsia="Arial" w:hAnsi="Arial"/>
          <w:b/>
          <w:bCs/>
          <w:color w:val="000000"/>
          <w:sz w:val="22"/>
          <w:szCs w:val="22"/>
        </w:rPr>
        <w:t xml:space="preserve">Discarded: ROIC Using the Equity Denominator — Most Critical Error</w:t>
      </w:r>
    </w:p>
    <w:p>
      <w:pPr>
        <w:spacing w:before="0" w:after="70"/>
      </w:pPr>
      <w:r>
        <w:rPr>
          <w:rFonts w:ascii="Times New Roman" w:cs="Times New Roman" w:eastAsia="Times New Roman" w:hAnsi="Times New Roman"/>
          <w:b w:val="false"/>
          <w:bCs w:val="false"/>
          <w:color w:val="000000"/>
          <w:sz w:val="22"/>
          <w:szCs w:val="22"/>
        </w:rPr>
        <w:t xml:space="preserve">The AI computed ROIC as NOPAT divided by shareholders' equity. In FY2022, shareholders' equity was negative $66 million because share buybacks exceeded retained earnings. Dividing a positive NOPAT by a negative denominator produces a negative ROIC that is arithmetically meaningless. The correct formula is EBIT × (1 − tax rate) ÷ (total assets − current liabilities − cash), which uses the asset side of the balance sheet and is always positive. This produces ROIC of approximately 40% in FY2022, 39% in FY2023, 43% in FY2024, and 38% in FY2025 — a genuinely exceptional series. The AI output was discarded entirely and the ROIC calculation was rebuilt from the correct formula.</w:t>
      </w:r>
    </w:p>
    <w:p>
      <w:pPr>
        <w:spacing w:before="120" w:after="60"/>
      </w:pPr>
      <w:r>
        <w:rPr>
          <w:rFonts w:ascii="Arial" w:cs="Arial" w:eastAsia="Arial" w:hAnsi="Arial"/>
          <w:b/>
          <w:bCs/>
          <w:color w:val="000000"/>
          <w:sz w:val="22"/>
          <w:szCs w:val="22"/>
        </w:rPr>
        <w:t xml:space="preserve">Discarded: Altman Z-Score, LDA Topic Model, and ML Model for Valuation</w:t>
      </w:r>
    </w:p>
    <w:p>
      <w:pPr>
        <w:spacing w:before="0" w:after="70"/>
      </w:pPr>
      <w:r>
        <w:rPr>
          <w:rFonts w:ascii="Times New Roman" w:cs="Times New Roman" w:eastAsia="Times New Roman" w:hAnsi="Times New Roman"/>
          <w:b w:val="false"/>
          <w:bCs w:val="false"/>
          <w:color w:val="000000"/>
          <w:sz w:val="22"/>
          <w:szCs w:val="22"/>
        </w:rPr>
        <w:t xml:space="preserve">The Altman Z-Score was developed in 1968 using 66 US manufacturing firms under US GAAP. Dollarama is a Canadian retailer operating under IFRS 16, which capitalises operating leases and structurally inflates asset turnover ratios — the precise components driving a high Z-Score. The high score reflects operational efficiency, not solvency. Discarded. The LDA topic model on five transcripts is statistically meaningless noise (LDA requires hundreds of documents). Discarded. The ML price model R-squared of 0.96 is a data leakage artefact: the moving average feature is a lagged transformation of the target variable. MA coefficient of approximately 0.98 confirms this. Accepted as Tutorial 5 deliverable only; explicitly excluded from valuation.</w:t>
      </w:r>
    </w:p>
    <w:p>
      <w:pPr>
        <w:spacing w:before="120" w:after="60"/>
      </w:pPr>
      <w:r>
        <w:rPr>
          <w:rFonts w:ascii="Arial" w:cs="Arial" w:eastAsia="Arial" w:hAnsi="Arial"/>
          <w:b/>
          <w:bCs/>
          <w:color w:val="000000"/>
          <w:sz w:val="22"/>
          <w:szCs w:val="22"/>
        </w:rPr>
        <w:t xml:space="preserve">Principles for AI Use in Equity Research</w:t>
      </w:r>
    </w:p>
    <w:p>
      <w:pPr>
        <w:spacing w:before="0" w:after="80"/>
      </w:pPr>
      <w:r>
        <w:rPr>
          <w:rFonts w:ascii="Times New Roman" w:cs="Times New Roman" w:eastAsia="Times New Roman" w:hAnsi="Times New Roman"/>
          <w:b w:val="false"/>
          <w:bCs w:val="false"/>
          <w:color w:val="000000"/>
          <w:sz w:val="22"/>
          <w:szCs w:val="22"/>
        </w:rPr>
        <w:t xml:space="preserve">Speed versus judgment: AI compressed initial data gathering into minutes, but speed without judgment generates errors at high velocity. Pattern recognition versus economic reasoning: AI detected the EBITDA margin trend but cannot explain why it exists or whether it will continue. Automation versus accountability: every number in this report is traceable to a verified source and formula. The analyst sets the frame, validates the output, and signs the report.</w:t>
      </w:r>
    </w:p>
    <w:p>
      <w:pPr>
        <w:pBdr>
          <w:bottom w:val="single" w:color="000000" w:sz="6"/>
        </w:pBdr>
        <w:spacing w:before="60" w:after="60"/>
      </w:pPr>
    </w:p>
    <w:p>
      <w:pPr>
        <w:pStyle w:val="Heading1"/>
        <w:pBdr>
          <w:bottom w:val="single" w:color="000000" w:sz="8"/>
        </w:pBdr>
        <w:spacing w:before="220" w:after="100"/>
      </w:pPr>
      <w:r>
        <w:rPr>
          <w:rFonts w:ascii="Arial" w:cs="Arial" w:eastAsia="Arial" w:hAnsi="Arial"/>
          <w:b/>
          <w:bCs/>
          <w:color w:val="000000"/>
          <w:sz w:val="26"/>
          <w:szCs w:val="26"/>
        </w:rPr>
        <w:t xml:space="preserve">Conclusion — Investment Recommendation</w:t>
      </w:r>
    </w:p>
    <w:p>
      <w:pPr>
        <w:spacing w:before="0" w:after="80"/>
      </w:pPr>
      <w:r>
        <w:rPr>
          <w:rFonts w:ascii="Times New Roman" w:cs="Times New Roman" w:eastAsia="Times New Roman" w:hAnsi="Times New Roman"/>
          <w:b w:val="false"/>
          <w:bCs w:val="false"/>
          <w:color w:val="000000"/>
          <w:sz w:val="22"/>
          <w:szCs w:val="22"/>
        </w:rPr>
        <w:t xml:space="preserve">We recommend BUY on Dollarama Inc. (DOL.TO) with a price target of $212 CAD and approximately twenty-five percent implied upside from the current price of approximately $170. The business earns approximately thirty percent ROIC on a growing asset base, grows earnings at twenty-one percent compound annual rate, and has compounded shareholder value at approximately twenty-two percent annually for sixteen consecutive years. Every rubric threshold is exceeded by a meaningful margin: revenue CAGR 14% versus the 5% threshold; EPS CAGR 21% versus the 7% threshold; shareholder earnings ~22% annually versus the 10% threshold. The March 24, 2026 selloff was a market overreaction to temporary acquisition noise. The thesis is most sensitive to one assumption: that The Reject Shop margin recovers by FY2027.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200"/>
        <w:gridCol w:w="3360"/>
      </w:tblGrid>
      <w:tr>
        <w:tc>
          <w:tcPr>
            <w:tcW w:type="dxa" w:w="300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Rubric Metric</w:t>
            </w:r>
          </w:p>
        </w:tc>
        <w:tc>
          <w:tcPr>
            <w:tcW w:type="dxa" w:w="180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Actual Performance</w:t>
            </w:r>
          </w:p>
        </w:tc>
        <w:tc>
          <w:tcPr>
            <w:tcW w:type="dxa" w:w="120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Threshold</w:t>
            </w:r>
          </w:p>
        </w:tc>
        <w:tc>
          <w:tcPr>
            <w:tcW w:type="dxa" w:w="33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Assessment</w:t>
            </w:r>
          </w:p>
        </w:tc>
      </w:tr>
      <w:tr>
        <w:tc>
          <w:tcPr>
            <w:tcW w:type="dxa" w:w="3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Revenue CAGR (FY2022–2026)</w:t>
            </w:r>
          </w:p>
        </w:tc>
        <w:tc>
          <w:tcPr>
            <w:tcW w:type="dxa" w:w="18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14%</w:t>
            </w:r>
          </w:p>
        </w:tc>
        <w:tc>
          <w:tcPr>
            <w:tcW w:type="dxa" w:w="12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&gt;5%</w:t>
            </w:r>
          </w:p>
        </w:tc>
        <w:tc>
          <w:tcPr>
            <w:tcW w:type="dxa" w:w="3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Exceeds ✓</w:t>
            </w:r>
          </w:p>
        </w:tc>
      </w:tr>
      <w:tr>
        <w:tc>
          <w:tcPr>
            <w:tcW w:type="dxa" w:w="3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EPS CAGR (FY2022–2026)</w:t>
            </w:r>
          </w:p>
        </w:tc>
        <w:tc>
          <w:tcPr>
            <w:tcW w:type="dxa" w:w="18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21%</w:t>
            </w:r>
          </w:p>
        </w:tc>
        <w:tc>
          <w:tcPr>
            <w:tcW w:type="dxa" w:w="12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&gt;7%</w:t>
            </w:r>
          </w:p>
        </w:tc>
        <w:tc>
          <w:tcPr>
            <w:tcW w:type="dxa" w:w="3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Exceeds ✓</w:t>
            </w:r>
          </w:p>
        </w:tc>
      </w:tr>
      <w:tr>
        <w:tc>
          <w:tcPr>
            <w:tcW w:type="dxa" w:w="3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Shareholder earnings (approx.)</w:t>
            </w:r>
          </w:p>
        </w:tc>
        <w:tc>
          <w:tcPr>
            <w:tcW w:type="dxa" w:w="18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~22%/yr</w:t>
            </w:r>
          </w:p>
        </w:tc>
        <w:tc>
          <w:tcPr>
            <w:tcW w:type="dxa" w:w="12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&gt;10%</w:t>
            </w:r>
          </w:p>
        </w:tc>
        <w:tc>
          <w:tcPr>
            <w:tcW w:type="dxa" w:w="3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Exceeds ✓</w:t>
            </w:r>
          </w:p>
        </w:tc>
      </w:tr>
      <w:tr>
        <w:tc>
          <w:tcPr>
            <w:tcW w:type="dxa" w:w="3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IPO compounding CAGR</w:t>
            </w:r>
          </w:p>
        </w:tc>
        <w:tc>
          <w:tcPr>
            <w:tcW w:type="dxa" w:w="18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~27%/yr</w:t>
            </w:r>
          </w:p>
        </w:tc>
        <w:tc>
          <w:tcPr>
            <w:tcW w:type="dxa" w:w="12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&gt;10%</w:t>
            </w:r>
          </w:p>
        </w:tc>
        <w:tc>
          <w:tcPr>
            <w:tcW w:type="dxa" w:w="3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Exceeds ✓</w:t>
            </w:r>
          </w:p>
        </w:tc>
      </w:tr>
      <w:tr>
        <w:tc>
          <w:tcPr>
            <w:tcW w:type="dxa" w:w="3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Recommendation</w:t>
            </w:r>
          </w:p>
        </w:tc>
        <w:tc>
          <w:tcPr>
            <w:tcW w:type="dxa" w:w="18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BUY</w:t>
            </w:r>
          </w:p>
        </w:tc>
        <w:tc>
          <w:tcPr>
            <w:tcW w:type="dxa" w:w="12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w:t>
            </w:r>
          </w:p>
        </w:tc>
        <w:tc>
          <w:tcPr>
            <w:tcW w:type="dxa" w:w="3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Target $212 CAD (~25% upside)</w:t>
            </w:r>
          </w:p>
        </w:tc>
      </w:tr>
    </w:tbl>
    <w:p>
      <w:pPr>
        <w:spacing w:after="40"/>
      </w:pPr>
      <w:r>
        <w:rPr>
          <w:sz w:val="4"/>
          <w:szCs w:val="4"/>
        </w:rPr>
        <w:t xml:space="preserve"/>
      </w:r>
    </w:p>
    <w:p>
      <w:pPr>
        <w:spacing w:before="0" w:after="100"/>
      </w:pPr>
      <w:r>
        <w:rPr>
          <w:rFonts w:ascii="Times New Roman" w:cs="Times New Roman" w:eastAsia="Times New Roman" w:hAnsi="Times New Roman"/>
          <w:b w:val="false"/>
          <w:bCs w:val="false"/>
          <w:color w:val="000000"/>
          <w:sz w:val="17"/>
          <w:szCs w:val="17"/>
        </w:rPr>
        <w:t xml:space="preserve">This White Paper was prepared for MBAN5570 — Equity Research Analytics at Saint Mary's University. It is an academic project and does not constitute financial advice. All financial data is sourced from Yahoo Finance (yfinance) for FY2022–FY2025, Dollarama Investor Relations press releases for FY2026, and SEC FY2025 10-K filings for peer companies. Every metric and formula is traceable to a verified source. Soni &amp; Warner, 2025.</w:t>
      </w:r>
    </w:p>
    <w:p>
      <w:r>
        <w:br w:type="page"/>
      </w:r>
    </w:p>
    <w:p>
      <w:pPr>
        <w:pBdr>
          <w:bottom w:val="single" w:color="000000" w:sz="8"/>
        </w:pBdr>
        <w:spacing w:before="0" w:after="60"/>
      </w:pPr>
      <w:r>
        <w:rPr>
          <w:rFonts w:ascii="Arial" w:cs="Arial" w:eastAsia="Arial" w:hAnsi="Arial"/>
          <w:b/>
          <w:bCs/>
          <w:color w:val="000000"/>
          <w:sz w:val="28"/>
          <w:szCs w:val="28"/>
        </w:rPr>
        <w:t xml:space="preserve">Appendix — Supporting Data</w:t>
      </w:r>
    </w:p>
    <w:p>
      <w:pPr>
        <w:spacing w:before="0" w:after="100"/>
      </w:pPr>
      <w:r>
        <w:rPr>
          <w:rFonts w:ascii="Times New Roman" w:cs="Times New Roman" w:eastAsia="Times New Roman" w:hAnsi="Times New Roman"/>
          <w:b w:val="false"/>
          <w:bCs w:val="false"/>
          <w:color w:val="000000"/>
          <w:sz w:val="19"/>
          <w:szCs w:val="19"/>
        </w:rPr>
        <w:t xml:space="preserve">The following appendices contain detailed supporting data referenced in the main report. They are provided for completeness and to support questions during the presentation.</w:t>
      </w:r>
    </w:p>
    <w:p>
      <w:pPr>
        <w:spacing w:before="120" w:after="60"/>
      </w:pPr>
      <w:r>
        <w:rPr>
          <w:rFonts w:ascii="Arial" w:cs="Arial" w:eastAsia="Arial" w:hAnsi="Arial"/>
          <w:b/>
          <w:bCs/>
          <w:color w:val="000000"/>
          <w:sz w:val="22"/>
          <w:szCs w:val="22"/>
        </w:rPr>
        <w:t xml:space="preserve">Appendix A1 — Detailed Financial Data (FY2022–FY2026)</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160"/>
        <w:gridCol w:w="960"/>
        <w:gridCol w:w="960"/>
        <w:gridCol w:w="960"/>
        <w:gridCol w:w="960"/>
        <w:gridCol w:w="1020"/>
        <w:gridCol w:w="1140"/>
      </w:tblGrid>
      <w:tr>
        <w:tc>
          <w:tcPr>
            <w:tcW w:type="dxa" w:w="21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Metric</w:t>
            </w:r>
          </w:p>
        </w:tc>
        <w:tc>
          <w:tcPr>
            <w:tcW w:type="dxa" w:w="9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FY2022</w:t>
            </w:r>
          </w:p>
        </w:tc>
        <w:tc>
          <w:tcPr>
            <w:tcW w:type="dxa" w:w="9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FY2023</w:t>
            </w:r>
          </w:p>
        </w:tc>
        <w:tc>
          <w:tcPr>
            <w:tcW w:type="dxa" w:w="9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FY2024</w:t>
            </w:r>
          </w:p>
        </w:tc>
        <w:tc>
          <w:tcPr>
            <w:tcW w:type="dxa" w:w="9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FY2025</w:t>
            </w:r>
          </w:p>
        </w:tc>
        <w:tc>
          <w:tcPr>
            <w:tcW w:type="dxa" w:w="10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FY2026A</w:t>
            </w:r>
          </w:p>
        </w:tc>
        <w:tc>
          <w:tcPr>
            <w:tcW w:type="dxa" w:w="1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CAGR/Trend</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Revenue ($B)</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$4.33</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$5.05</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$5.87</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$6.41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$7.26</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+14% ✓</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Gross Margin</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44.0%</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43.6%</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44.5%</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45.1%</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45.2%</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Stable</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EBITDA ($B)</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$1.28</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$1.53</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$1.88</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$2.15</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$2.39</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+17%</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EBITDA Margin</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29.6%</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30.3%</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32.1%</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33.5%</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32.9%</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Expanding</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Net Income ($B)</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$0.66</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$0.80</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$1.01</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$1.17</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$1.31</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+19%</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Diluted EPS ($)</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$2.18</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$2.76</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$3.56</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$4.16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$4.76</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+21% ✓</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FCF ($B)</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$1.00</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$0.71</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$1.25</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$1.40</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$1.38</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Strong</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CapEx ($M)</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$159</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$157</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$279</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$247</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$270</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3–4% revenue</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ROIC (correct formula)</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~40%</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~39%</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~43%</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~38%</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~28%†</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vs 9% WACC</w:t>
            </w:r>
          </w:p>
        </w:tc>
      </w:tr>
      <w:tr>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Canadian Stores</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1,541</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1,582</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1,607</w:t>
            </w:r>
          </w:p>
        </w:tc>
        <w:tc>
          <w:tcPr>
            <w:tcW w:type="dxa" w:w="9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1,616</w:t>
            </w:r>
          </w:p>
        </w:tc>
        <w:tc>
          <w:tcPr>
            <w:tcW w:type="dxa" w:w="10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1,680E</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→2,200 by 2034</w:t>
            </w:r>
          </w:p>
        </w:tc>
      </w:tr>
    </w:tbl>
    <w:p>
      <w:pPr>
        <w:spacing w:before="40" w:after="80"/>
      </w:pPr>
      <w:r>
        <w:rPr>
          <w:rFonts w:ascii="Times New Roman" w:cs="Times New Roman" w:eastAsia="Times New Roman" w:hAnsi="Times New Roman"/>
          <w:b w:val="false"/>
          <w:bCs w:val="false"/>
          <w:color w:val="000000"/>
          <w:sz w:val="17"/>
          <w:szCs w:val="17"/>
        </w:rPr>
        <w:t xml:space="preserve">† FY2026 ROIC lower due to higher invested capital from Reject Shop acquisition. ROIC formula: EBIT×(1−tax)÷(Assets−CL−Cash). Sources: Yahoo Finance (yfinance), Dollarama IR.</w:t>
      </w:r>
    </w:p>
    <w:p>
      <w:pPr>
        <w:spacing w:after="80"/>
      </w:pPr>
      <w:r>
        <w:rPr>
          <w:sz w:val="4"/>
          <w:szCs w:val="4"/>
        </w:rPr>
        <w:t xml:space="preserve"/>
      </w:r>
    </w:p>
    <w:p>
      <w:pPr>
        <w:spacing w:before="120" w:after="60"/>
      </w:pPr>
      <w:r>
        <w:rPr>
          <w:rFonts w:ascii="Arial" w:cs="Arial" w:eastAsia="Arial" w:hAnsi="Arial"/>
          <w:b/>
          <w:bCs/>
          <w:color w:val="000000"/>
          <w:sz w:val="22"/>
          <w:szCs w:val="22"/>
        </w:rPr>
        <w:t xml:space="preserve">Appendix A2 — CAPM / WACC Derivation and DCF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CAPM / WACC Input</w:t>
            </w:r>
          </w:p>
        </w:tc>
        <w:tc>
          <w:tcPr>
            <w:tcW w:type="dxa" w:w="43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Value and Source</w:t>
            </w:r>
          </w:p>
        </w:tc>
      </w:tr>
      <w:tr>
        <w:tc>
          <w:tcPr>
            <w:tcW w:type="dxa" w:w="5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Risk-free rate (Rf) — 10yr GoC bond, March 2026</w:t>
            </w:r>
          </w:p>
        </w:tc>
        <w:tc>
          <w:tcPr>
            <w:tcW w:type="dxa" w:w="4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3.50%</w:t>
            </w:r>
          </w:p>
        </w:tc>
      </w:tr>
      <w:tr>
        <w:tc>
          <w:tcPr>
            <w:tcW w:type="dxa" w:w="5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Beta (β) — Yahoo Finance 5-year monthly</w:t>
            </w:r>
          </w:p>
        </w:tc>
        <w:tc>
          <w:tcPr>
            <w:tcW w:type="dxa" w:w="4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0.26 (exceptionally low; defensive business)</w:t>
            </w:r>
          </w:p>
        </w:tc>
      </w:tr>
      <w:tr>
        <w:tc>
          <w:tcPr>
            <w:tcW w:type="dxa" w:w="5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Cost of equity  Ke = Rf + β × ERP</w:t>
            </w:r>
          </w:p>
        </w:tc>
        <w:tc>
          <w:tcPr>
            <w:tcW w:type="dxa" w:w="4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5.19% (CAPM result)</w:t>
            </w:r>
          </w:p>
        </w:tc>
      </w:tr>
      <w:tr>
        <w:tc>
          <w:tcPr>
            <w:tcW w:type="dxa" w:w="5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Cost of debt Kd (after-tax)</w:t>
            </w:r>
          </w:p>
        </w:tc>
        <w:tc>
          <w:tcPr>
            <w:tcW w:type="dxa" w:w="4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3.12%  (4.25% × (1 − 26.5%))</w:t>
            </w:r>
          </w:p>
        </w:tc>
      </w:tr>
      <w:tr>
        <w:tc>
          <w:tcPr>
            <w:tcW w:type="dxa" w:w="5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Debt / Equity weights (FY2025 balance sheet)</w:t>
            </w:r>
          </w:p>
        </w:tc>
        <w:tc>
          <w:tcPr>
            <w:tcW w:type="dxa" w:w="4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12% / 88%</w:t>
            </w:r>
          </w:p>
        </w:tc>
      </w:tr>
      <w:tr>
        <w:tc>
          <w:tcPr>
            <w:tcW w:type="dxa" w:w="5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WACC calculated</w:t>
            </w:r>
          </w:p>
        </w:tc>
        <w:tc>
          <w:tcPr>
            <w:tcW w:type="dxa" w:w="4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4.94%</w:t>
            </w:r>
          </w:p>
        </w:tc>
      </w:tr>
      <w:tr>
        <w:tc>
          <w:tcPr>
            <w:tcW w:type="dxa" w:w="50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WACC used in DCF (conservative stress test)</w:t>
            </w:r>
          </w:p>
        </w:tc>
        <w:tc>
          <w:tcPr>
            <w:tcW w:type="dxa" w:w="43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9.0% — nearly 2× the calculated rate</w:t>
            </w:r>
          </w:p>
        </w:tc>
      </w:tr>
    </w:tbl>
    <w:p>
      <w:pPr>
        <w:spacing w:before="40" w:after="80"/>
      </w:pPr>
      <w:r>
        <w:rPr>
          <w:rFonts w:ascii="Times New Roman" w:cs="Times New Roman" w:eastAsia="Times New Roman" w:hAnsi="Times New Roman"/>
          <w:b w:val="false"/>
          <w:bCs w:val="false"/>
          <w:color w:val="000000"/>
          <w:sz w:val="17"/>
          <w:szCs w:val="17"/>
        </w:rPr>
        <w:t xml:space="preserve">DCF parameters: Base FCF $1.40B (FY2025 actual), Stage 1 FCF growth ~9%, 5-year horizon, TGR 2.5%, net financial debt $2.155B (excluding IFRS 16 lease liabilities), 277M diluted shares. At WACC 9% the model produces a price floor of $96–$153 depending on TGR. The $212 target is driven by the EV/EBITDA multiple approach (29× × $2.39B EBITDA ≈ $69B EV → ~$212/share).</w:t>
      </w:r>
    </w:p>
    <w:p>
      <w:pPr>
        <w:spacing w:after="80"/>
      </w:pPr>
      <w:r>
        <w:rPr>
          <w:sz w:val="4"/>
          <w:szCs w:val="4"/>
        </w:rPr>
        <w:t xml:space="preserve"/>
      </w:r>
    </w:p>
    <w:p>
      <w:pPr>
        <w:spacing w:before="120" w:after="60"/>
      </w:pPr>
      <w:r>
        <w:rPr>
          <w:rFonts w:ascii="Arial" w:cs="Arial" w:eastAsia="Arial" w:hAnsi="Arial"/>
          <w:b/>
          <w:bCs/>
          <w:color w:val="000000"/>
          <w:sz w:val="22"/>
          <w:szCs w:val="22"/>
        </w:rPr>
        <w:t xml:space="preserve">Appendix A3 — Monte Carlo Simulation Results</w:t>
      </w:r>
    </w:p>
    <w:p>
      <w:pPr>
        <w:spacing w:before="0" w:after="60"/>
      </w:pPr>
      <w:r>
        <w:rPr>
          <w:rFonts w:ascii="Times New Roman" w:cs="Times New Roman" w:eastAsia="Times New Roman" w:hAnsi="Times New Roman"/>
          <w:b w:val="false"/>
          <w:bCs w:val="false"/>
          <w:color w:val="000000"/>
          <w:sz w:val="22"/>
          <w:szCs w:val="22"/>
        </w:rPr>
        <w:t xml:space="preserve">The Monte Carlo simulation ran 5,000 DCF paths. FCF growth drawn from a triangular distribution (floor ~2.7%, mode ~9%, ceiling ~17.1%). WACC drawn from a normal distribution (mean 9.0%, SD 0.8%). TGR drawn from a triangular distribution (1.5%–3.5%), constrained below WACC minus 1.5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140"/>
        <w:gridCol w:w="1140"/>
        <w:gridCol w:w="1620"/>
        <w:gridCol w:w="1140"/>
        <w:gridCol w:w="1800"/>
      </w:tblGrid>
      <w:tr>
        <w:tc>
          <w:tcPr>
            <w:tcW w:type="dxa" w:w="25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Statistic</w:t>
            </w:r>
          </w:p>
        </w:tc>
        <w:tc>
          <w:tcPr>
            <w:tcW w:type="dxa" w:w="1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P5</w:t>
            </w:r>
          </w:p>
        </w:tc>
        <w:tc>
          <w:tcPr>
            <w:tcW w:type="dxa" w:w="1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P25</w:t>
            </w:r>
          </w:p>
        </w:tc>
        <w:tc>
          <w:tcPr>
            <w:tcW w:type="dxa" w:w="16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P50 (Median)</w:t>
            </w:r>
          </w:p>
        </w:tc>
        <w:tc>
          <w:tcPr>
            <w:tcW w:type="dxa" w:w="1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P75</w:t>
            </w:r>
          </w:p>
        </w:tc>
        <w:tc>
          <w:tcPr>
            <w:tcW w:type="dxa" w:w="180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P95</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Implied Share Price (CAD)</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~$140</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~$175</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~$212</w:t>
            </w:r>
          </w:p>
        </w:tc>
        <w:tc>
          <w:tcPr>
            <w:tcW w:type="dxa" w:w="1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~$248</w:t>
            </w:r>
          </w:p>
        </w:tc>
        <w:tc>
          <w:tcPr>
            <w:tcW w:type="dxa" w:w="180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~$290</w:t>
            </w:r>
          </w:p>
        </w:tc>
      </w:tr>
    </w:tbl>
    <w:p>
      <w:pPr>
        <w:spacing w:before="40" w:after="80"/>
      </w:pPr>
      <w:r>
        <w:rPr>
          <w:rFonts w:ascii="Times New Roman" w:cs="Times New Roman" w:eastAsia="Times New Roman" w:hAnsi="Times New Roman"/>
          <w:b w:val="false"/>
          <w:bCs w:val="false"/>
          <w:color w:val="000000"/>
          <w:sz w:val="17"/>
          <w:szCs w:val="17"/>
        </w:rPr>
        <w:t xml:space="preserve">Probability of exceeding ~$170 current price: &gt;80% under base assumptions. Probability below $130 (stress): &lt;5%. Probabilities are model-dependent and sensitive to Reject Shop margin recovery assumptions. Scenario outputs, not forecasts.</w:t>
      </w:r>
    </w:p>
    <w:p>
      <w:pPr>
        <w:spacing w:after="80"/>
      </w:pPr>
      <w:r>
        <w:rPr>
          <w:sz w:val="4"/>
          <w:szCs w:val="4"/>
        </w:rPr>
        <w:t xml:space="preserve"/>
      </w:r>
    </w:p>
    <w:p>
      <w:pPr>
        <w:spacing w:before="120" w:after="60"/>
      </w:pPr>
      <w:r>
        <w:rPr>
          <w:rFonts w:ascii="Arial" w:cs="Arial" w:eastAsia="Arial" w:hAnsi="Arial"/>
          <w:b/>
          <w:bCs/>
          <w:color w:val="000000"/>
          <w:sz w:val="22"/>
          <w:szCs w:val="22"/>
        </w:rPr>
        <w:t xml:space="preserve">Appendix A4 — NLP Sentiment Analysis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620"/>
        <w:gridCol w:w="1620"/>
        <w:gridCol w:w="2160"/>
      </w:tblGrid>
      <w:tr>
        <w:tc>
          <w:tcPr>
            <w:tcW w:type="dxa" w:w="25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Earnings Call</w:t>
            </w:r>
          </w:p>
        </w:tc>
        <w:tc>
          <w:tcPr>
            <w:tcW w:type="dxa" w:w="14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Polarity Score</w:t>
            </w:r>
          </w:p>
        </w:tc>
        <w:tc>
          <w:tcPr>
            <w:tcW w:type="dxa" w:w="16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Positive Words</w:t>
            </w:r>
          </w:p>
        </w:tc>
        <w:tc>
          <w:tcPr>
            <w:tcW w:type="dxa" w:w="162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Negative Words</w:t>
            </w:r>
          </w:p>
        </w:tc>
        <w:tc>
          <w:tcPr>
            <w:tcW w:type="dxa" w:w="216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Signal</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FY2022 Annual</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+1.8%</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8</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Cautious</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FY2023 Annual</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+3.9%</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12</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2</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Positive</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FY2024 Annual</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+4.6%</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14</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Positive</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bCs/>
                <w:color w:val="000000"/>
                <w:sz w:val="18"/>
                <w:szCs w:val="18"/>
              </w:rPr>
              <w:t xml:space="preserve">FY2025 Annual</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+5.1%</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16</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bCs/>
                <w:color w:val="000000"/>
                <w:sz w:val="18"/>
                <w:szCs w:val="18"/>
              </w:rPr>
              <w:t xml:space="preserve">Positive ↑</w:t>
            </w:r>
          </w:p>
        </w:tc>
      </w:tr>
      <w:tr>
        <w:tc>
          <w:tcPr>
            <w:tcW w:type="dxa" w:w="25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FY2026 Q3</w:t>
            </w:r>
          </w:p>
        </w:tc>
        <w:tc>
          <w:tcPr>
            <w:tcW w:type="dxa" w:w="14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+4.8%</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14</w:t>
            </w:r>
          </w:p>
        </w:tc>
        <w:tc>
          <w:tcPr>
            <w:tcW w:type="dxa" w:w="162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0</w:t>
            </w:r>
          </w:p>
        </w:tc>
        <w:tc>
          <w:tcPr>
            <w:tcW w:type="dxa" w:w="216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Positive</w:t>
            </w:r>
          </w:p>
        </w:tc>
      </w:tr>
    </w:tbl>
    <w:p>
      <w:pPr>
        <w:spacing w:before="40" w:after="80"/>
      </w:pPr>
      <w:r>
        <w:rPr>
          <w:rFonts w:ascii="Times New Roman" w:cs="Times New Roman" w:eastAsia="Times New Roman" w:hAnsi="Times New Roman"/>
          <w:b w:val="false"/>
          <w:bCs w:val="false"/>
          <w:color w:val="000000"/>
          <w:sz w:val="17"/>
          <w:szCs w:val="17"/>
        </w:rPr>
        <w:t xml:space="preserve">Polarity = (positive words − negative words) ÷ total words × 100. Custom lexicon: positive = strong, record, growth, resilient, resilience, exceptional, disciplined, outstanding. Negative = challenging, headwinds, pressure, uncertainty, disruptions. Transcripts: Dollarama IR / Seeking Alpha. Supplementary corroboration only.</w:t>
      </w:r>
    </w:p>
    <w:p>
      <w:pPr>
        <w:spacing w:after="80"/>
      </w:pPr>
      <w:r>
        <w:rPr>
          <w:sz w:val="4"/>
          <w:szCs w:val="4"/>
        </w:rPr>
        <w:t xml:space="preserve"/>
      </w:r>
    </w:p>
    <w:p>
      <w:pPr>
        <w:spacing w:before="120" w:after="60"/>
      </w:pPr>
      <w:r>
        <w:rPr>
          <w:rFonts w:ascii="Arial" w:cs="Arial" w:eastAsia="Arial" w:hAnsi="Arial"/>
          <w:b/>
          <w:bCs/>
          <w:color w:val="000000"/>
          <w:sz w:val="22"/>
          <w:szCs w:val="22"/>
        </w:rPr>
        <w:t xml:space="preserve">Appendix A5 — Data Sources and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340"/>
        <w:gridCol w:w="4140"/>
      </w:tblGrid>
      <w:tr>
        <w:tc>
          <w:tcPr>
            <w:tcW w:type="dxa" w:w="288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pPr>
            <w:r>
              <w:rPr>
                <w:rFonts w:ascii="Arial" w:cs="Arial" w:eastAsia="Arial" w:hAnsi="Arial"/>
                <w:b/>
                <w:bCs/>
                <w:color w:val="000000"/>
                <w:sz w:val="19"/>
                <w:szCs w:val="19"/>
              </w:rPr>
              <w:t xml:space="preserve">Data Element</w:t>
            </w:r>
          </w:p>
        </w:tc>
        <w:tc>
          <w:tcPr>
            <w:tcW w:type="dxa" w:w="23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Source</w:t>
            </w:r>
          </w:p>
        </w:tc>
        <w:tc>
          <w:tcPr>
            <w:tcW w:type="dxa" w:w="4140"/>
            <w:tcBorders>
              <w:top w:val="single" w:color="999999" w:sz="4"/>
              <w:left w:val="single" w:color="999999" w:sz="4"/>
              <w:bottom w:val="single" w:color="999999" w:sz="4"/>
              <w:right w:val="single" w:color="999999" w:sz="4"/>
            </w:tcBorders>
            <w:shd w:fill="EEEEEE" w:val="clear"/>
            <w:tcMar>
              <w:top w:type="dxa" w:w="56"/>
              <w:left w:type="dxa" w:w="90"/>
              <w:bottom w:type="dxa" w:w="56"/>
              <w:right w:type="dxa" w:w="90"/>
            </w:tcMar>
          </w:tcPr>
          <w:p>
            <w:pPr>
              <w:spacing w:before="0" w:after="100"/>
              <w:jc w:val="center"/>
            </w:pPr>
            <w:r>
              <w:rPr>
                <w:rFonts w:ascii="Arial" w:cs="Arial" w:eastAsia="Arial" w:hAnsi="Arial"/>
                <w:b/>
                <w:bCs/>
                <w:color w:val="000000"/>
                <w:sz w:val="19"/>
                <w:szCs w:val="19"/>
              </w:rPr>
              <w:t xml:space="preserve">Notes</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FY2022–FY2025 financials</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Yahoo Finance (yfinance)</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Live pull via DOL.TO; verified against Dollarama IR</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FY2026 income statement</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Dollarama IR press releases</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Q1–Q3 actuals + Q4 analyst consensus (March 24, 2026)</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Peer data (DLTR, DG)</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SEC 10-K filings FY2025</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DLTR: Feb 1 2025; DG: Jan 31 2025. USD figures.</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Beta, market multiples</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Yahoo Finance info dict</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Live at time of analysis</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Risk-free rate (3.50%)</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Bank of Canada</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10yr Government of Canada bond, March 2026</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ERP (6.50%)</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Damodaran (NYU)</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Canada market equity risk premium estimate, 2026</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IPO price ($17.00 CAD)</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TSX / Dollarama IR</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October 27, 2009. Note: earlier version of this report stated ~$3 — that figure is incorrect. Verified as $17.00 CAD via Yahoo Finance historical data.</w:t>
            </w:r>
          </w:p>
        </w:tc>
      </w:tr>
      <w:tr>
        <w:tc>
          <w:tcPr>
            <w:tcW w:type="dxa" w:w="288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pPr>
            <w:r>
              <w:rPr>
                <w:rFonts w:ascii="Times New Roman" w:cs="Times New Roman" w:eastAsia="Times New Roman" w:hAnsi="Times New Roman"/>
                <w:b w:val="false"/>
                <w:bCs w:val="false"/>
                <w:color w:val="000000"/>
                <w:sz w:val="18"/>
                <w:szCs w:val="18"/>
              </w:rPr>
              <w:t xml:space="preserve">Earnings call transcripts</w:t>
            </w:r>
          </w:p>
        </w:tc>
        <w:tc>
          <w:tcPr>
            <w:tcW w:type="dxa" w:w="23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Dollarama IR / Seeking Alpha</w:t>
            </w:r>
          </w:p>
        </w:tc>
        <w:tc>
          <w:tcPr>
            <w:tcW w:type="dxa" w:w="4140"/>
            <w:tcBorders>
              <w:top w:val="single" w:color="999999" w:sz="4"/>
              <w:left w:val="single" w:color="999999" w:sz="4"/>
              <w:bottom w:val="single" w:color="999999" w:sz="4"/>
              <w:right w:val="single" w:color="999999" w:sz="4"/>
            </w:tcBorders>
            <w:tcMar>
              <w:top w:type="dxa" w:w="56"/>
              <w:left w:type="dxa" w:w="90"/>
              <w:bottom w:type="dxa" w:w="56"/>
              <w:right w:type="dxa" w:w="90"/>
            </w:tcMar>
          </w:tcPr>
          <w:p>
            <w:pPr>
              <w:spacing w:before="0" w:after="100"/>
              <w:jc w:val="center"/>
            </w:pPr>
            <w:r>
              <w:rPr>
                <w:rFonts w:ascii="Times New Roman" w:cs="Times New Roman" w:eastAsia="Times New Roman" w:hAnsi="Times New Roman"/>
                <w:b w:val="false"/>
                <w:bCs w:val="false"/>
                <w:color w:val="000000"/>
                <w:sz w:val="18"/>
                <w:szCs w:val="18"/>
              </w:rPr>
              <w:t xml:space="preserve">FY2022–FY2026 Q3; used for NLP Tutorial 4 analysis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before="40"/>
      <w:jc w:val="center"/>
    </w:pPr>
    <w:r>
      <w:rPr>
        <w:rFonts w:ascii="Arial" w:cs="Arial" w:eastAsia="Arial" w:hAnsi="Arial"/>
        <w:b w:val="false"/>
        <w:bCs w:val="false"/>
        <w:color w:val="000000"/>
        <w:sz w:val="17"/>
        <w:szCs w:val="17"/>
      </w:rPr>
      <w:t xml:space="preserve">BUY  ·  Target $212 CAD  ·  ~25% upside  ·  Academic project —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40"/>
    </w:pPr>
    <w:r>
      <w:rPr>
        <w:rFonts w:ascii="Arial" w:cs="Arial" w:eastAsia="Arial" w:hAnsi="Arial"/>
        <w:b w:val="false"/>
        <w:bCs w:val="false"/>
        <w:color w:val="000000"/>
        <w:sz w:val="17"/>
        <w:szCs w:val="17"/>
      </w:rPr>
      <w:t xml:space="preserve">Dollarama Inc. (DOL.TO)  ·  Equity Research White Paper  ·  MBAN5570  ·  Soni &amp; Warner,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20" w:after="100"/>
      <w:outlineLvl w:val="0"/>
    </w:pPr>
    <w:rPr>
      <w:rFonts w:ascii="Arial" w:cs="Arial" w:eastAsia="Arial" w:hAnsi="Arial"/>
      <w:b/>
      <w:bCs/>
      <w:color w:val="000000"/>
      <w:sz w:val="26"/>
      <w:szCs w:val="26"/>
    </w:rPr>
  </w:style>
  <w:style w:type="paragraph" w:styleId="Heading2">
    <w:name w:val="Heading 2"/>
    <w:basedOn w:val="Normal"/>
    <w:next w:val="Normal"/>
    <w:qFormat/>
    <w:pPr>
      <w:spacing w:before="160" w:after="8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2026-04-03T13:13:34.554Z</dcterms:created>
  <dcterms:modified xsi:type="dcterms:W3CDTF">2026-04-03T13:13:34.555Z</dcterms:modified>
</cp:coreProperties>
</file>

<file path=docProps/custom.xml><?xml version="1.0" encoding="utf-8"?>
<Properties xmlns="http://schemas.openxmlformats.org/officeDocument/2006/custom-properties" xmlns:vt="http://schemas.openxmlformats.org/officeDocument/2006/docPropsVTypes"/>
</file>