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276"/>
        <w:jc w:val="left"/>
      </w:pPr>
      <w:r>
        <w:rPr>
          <w:rFonts w:ascii="Calibri" w:cs="Calibri" w:eastAsia="Calibri" w:hAnsi="Calibri"/>
          <w:b w:val="false"/>
          <w:bCs w:val="false"/>
          <w:i w:val="false"/>
          <w:iCs w:val="false"/>
          <w:color w:val="1A1A2E"/>
          <w:sz w:val="20"/>
          <w:szCs w:val="20"/>
        </w:rPr>
        <w:t xml:space="preserve"/>
      </w:r>
    </w:p>
    <w:p>
      <w:pPr>
        <w:spacing w:after="40" w:before="0"/>
      </w:pPr>
      <w:r>
        <w:rPr>
          <w:rFonts w:ascii="Calibri" w:cs="Calibri" w:eastAsia="Calibri" w:hAnsi="Calibri"/>
          <w:b/>
          <w:bCs/>
          <w:color w:val="1F3A5F"/>
          <w:sz w:val="72"/>
          <w:szCs w:val="72"/>
        </w:rPr>
        <w:t xml:space="preserve">REFLECT</w:t>
      </w:r>
    </w:p>
    <w:p>
      <w:pPr>
        <w:spacing w:after="40" w:before="0"/>
      </w:pPr>
      <w:r>
        <w:rPr>
          <w:rFonts w:ascii="Calibri" w:cs="Calibri" w:eastAsia="Calibri" w:hAnsi="Calibri"/>
          <w:color w:val="2E5F8A"/>
          <w:sz w:val="32"/>
          <w:szCs w:val="32"/>
        </w:rPr>
        <w:t xml:space="preserve">Privacy-First Personal Journalling Application</w:t>
      </w:r>
    </w:p>
    <w:p>
      <w:pPr>
        <w:spacing w:after="200" w:before="0"/>
      </w:pPr>
      <w:r>
        <w:rPr>
          <w:rFonts w:ascii="Calibri" w:cs="Calibri" w:eastAsia="Calibri" w:hAnsi="Calibri"/>
          <w:b/>
          <w:bCs/>
          <w:color w:val="4A4A6A"/>
          <w:spacing w:val="80"/>
          <w:sz w:val="22"/>
          <w:szCs w:val="22"/>
        </w:rPr>
        <w:t xml:space="preserve">BUSINESS ANALYSIS DOCUMENT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EEF2F7" w:val="clear"/>
            <w:tcMar>
              <w:top w:type="dxa" w:w="60"/>
              <w:left w:type="dxa" w:w="140"/>
              <w:bottom w:type="dxa" w:w="60"/>
              <w:right w:type="dxa" w:w="80"/>
            </w:tcMar>
          </w:tcPr>
          <w:p>
            <w:pPr>
              <w:spacing w:after="0" w:before="0"/>
            </w:pPr>
            <w:r>
              <w:rPr>
                <w:rFonts w:ascii="Calibri" w:cs="Calibri" w:eastAsia="Calibri" w:hAnsi="Calibri"/>
                <w:b/>
                <w:bCs/>
                <w:color w:val="2E5F8A"/>
                <w:sz w:val="18"/>
                <w:szCs w:val="18"/>
              </w:rPr>
              <w:t xml:space="preserve">Version</w:t>
            </w:r>
          </w:p>
        </w:tc>
        <w:tc>
          <w:tcPr>
            <w:tcW w:type="dxa" w:w="6760"/>
            <w:tcBorders>
              <w:top w:val="none" w:color="FFFFFF" w:sz="0"/>
              <w:left w:val="none" w:color="FFFFFF" w:sz="0"/>
              <w:bottom w:val="none" w:color="FFFFFF" w:sz="0"/>
              <w:right w:val="none" w:color="FFFFFF" w:sz="0"/>
            </w:tcBorders>
            <w:shd w:fill="EEF2F7" w:val="clear"/>
            <w:tcMar>
              <w:top w:type="dxa" w:w="60"/>
              <w:left w:type="dxa" w:w="120"/>
              <w:bottom w:type="dxa" w:w="60"/>
              <w:right w:type="dxa" w:w="120"/>
            </w:tcMar>
          </w:tcPr>
          <w:p>
            <w:pPr>
              <w:spacing w:after="0" w:before="0"/>
            </w:pPr>
            <w:r>
              <w:rPr>
                <w:rFonts w:ascii="Calibri" w:cs="Calibri" w:eastAsia="Calibri" w:hAnsi="Calibri"/>
                <w:color w:val="1A1A2E"/>
                <w:sz w:val="18"/>
                <w:szCs w:val="18"/>
              </w:rPr>
              <w:t xml:space="preserve">2.0 — Updated to A6d (Insights Dashboard)</w:t>
            </w:r>
          </w:p>
        </w:tc>
      </w:tr>
      <w:tr>
        <w:tc>
          <w:tcPr>
            <w:tcW w:type="dxa" w:w="2600"/>
            <w:tcBorders>
              <w:top w:val="none" w:color="FFFFFF" w:sz="0"/>
              <w:left w:val="none" w:color="FFFFFF" w:sz="0"/>
              <w:bottom w:val="none" w:color="FFFFFF" w:sz="0"/>
              <w:right w:val="none" w:color="FFFFFF" w:sz="0"/>
            </w:tcBorders>
            <w:shd w:fill="F8FAFC" w:val="clear"/>
            <w:tcMar>
              <w:top w:type="dxa" w:w="60"/>
              <w:left w:type="dxa" w:w="140"/>
              <w:bottom w:type="dxa" w:w="60"/>
              <w:right w:type="dxa" w:w="80"/>
            </w:tcMar>
          </w:tcPr>
          <w:p>
            <w:pPr>
              <w:spacing w:after="0" w:before="0"/>
            </w:pPr>
            <w:r>
              <w:rPr>
                <w:rFonts w:ascii="Calibri" w:cs="Calibri" w:eastAsia="Calibri" w:hAnsi="Calibri"/>
                <w:b/>
                <w:bCs/>
                <w:color w:val="2E5F8A"/>
                <w:sz w:val="18"/>
                <w:szCs w:val="18"/>
              </w:rPr>
              <w:t xml:space="preserve">Date</w:t>
            </w:r>
          </w:p>
        </w:tc>
        <w:tc>
          <w:tcPr>
            <w:tcW w:type="dxa" w:w="6760"/>
            <w:tcBorders>
              <w:top w:val="none" w:color="FFFFFF" w:sz="0"/>
              <w:left w:val="none" w:color="FFFFFF" w:sz="0"/>
              <w:bottom w:val="none" w:color="FFFFFF" w:sz="0"/>
              <w:right w:val="none" w:color="FFFFFF" w:sz="0"/>
            </w:tcBorders>
            <w:shd w:fill="F8FAFC" w:val="clear"/>
            <w:tcMar>
              <w:top w:type="dxa" w:w="60"/>
              <w:left w:type="dxa" w:w="120"/>
              <w:bottom w:type="dxa" w:w="60"/>
              <w:right w:type="dxa" w:w="120"/>
            </w:tcMar>
          </w:tcPr>
          <w:p>
            <w:pPr>
              <w:spacing w:after="0" w:before="0"/>
            </w:pPr>
            <w:r>
              <w:rPr>
                <w:rFonts w:ascii="Calibri" w:cs="Calibri" w:eastAsia="Calibri" w:hAnsi="Calibri"/>
                <w:color w:val="1A1A2E"/>
                <w:sz w:val="18"/>
                <w:szCs w:val="18"/>
              </w:rPr>
              <w:t xml:space="preserve">March 2026</w:t>
            </w:r>
          </w:p>
        </w:tc>
      </w:tr>
      <w:tr>
        <w:tc>
          <w:tcPr>
            <w:tcW w:type="dxa" w:w="2600"/>
            <w:tcBorders>
              <w:top w:val="none" w:color="FFFFFF" w:sz="0"/>
              <w:left w:val="none" w:color="FFFFFF" w:sz="0"/>
              <w:bottom w:val="none" w:color="FFFFFF" w:sz="0"/>
              <w:right w:val="none" w:color="FFFFFF" w:sz="0"/>
            </w:tcBorders>
            <w:shd w:fill="EEF2F7" w:val="clear"/>
            <w:tcMar>
              <w:top w:type="dxa" w:w="60"/>
              <w:left w:type="dxa" w:w="140"/>
              <w:bottom w:type="dxa" w:w="60"/>
              <w:right w:type="dxa" w:w="80"/>
            </w:tcMar>
          </w:tcPr>
          <w:p>
            <w:pPr>
              <w:spacing w:after="0" w:before="0"/>
            </w:pPr>
            <w:r>
              <w:rPr>
                <w:rFonts w:ascii="Calibri" w:cs="Calibri" w:eastAsia="Calibri" w:hAnsi="Calibri"/>
                <w:b/>
                <w:bCs/>
                <w:color w:val="2E5F8A"/>
                <w:sz w:val="18"/>
                <w:szCs w:val="18"/>
              </w:rPr>
              <w:t xml:space="preserve">Author</w:t>
            </w:r>
          </w:p>
        </w:tc>
        <w:tc>
          <w:tcPr>
            <w:tcW w:type="dxa" w:w="6760"/>
            <w:tcBorders>
              <w:top w:val="none" w:color="FFFFFF" w:sz="0"/>
              <w:left w:val="none" w:color="FFFFFF" w:sz="0"/>
              <w:bottom w:val="none" w:color="FFFFFF" w:sz="0"/>
              <w:right w:val="none" w:color="FFFFFF" w:sz="0"/>
            </w:tcBorders>
            <w:shd w:fill="EEF2F7" w:val="clear"/>
            <w:tcMar>
              <w:top w:type="dxa" w:w="60"/>
              <w:left w:type="dxa" w:w="120"/>
              <w:bottom w:type="dxa" w:w="60"/>
              <w:right w:type="dxa" w:w="120"/>
            </w:tcMar>
          </w:tcPr>
          <w:p>
            <w:pPr>
              <w:spacing w:after="0" w:before="0"/>
            </w:pPr>
            <w:r>
              <w:rPr>
                <w:rFonts w:ascii="Calibri" w:cs="Calibri" w:eastAsia="Calibri" w:hAnsi="Calibri"/>
                <w:color w:val="1A1A2E"/>
                <w:sz w:val="18"/>
                <w:szCs w:val="18"/>
              </w:rPr>
              <w:t xml:space="preserve">Krishna Yelnure</w:t>
            </w:r>
          </w:p>
        </w:tc>
      </w:tr>
      <w:tr>
        <w:tc>
          <w:tcPr>
            <w:tcW w:type="dxa" w:w="2600"/>
            <w:tcBorders>
              <w:top w:val="none" w:color="FFFFFF" w:sz="0"/>
              <w:left w:val="none" w:color="FFFFFF" w:sz="0"/>
              <w:bottom w:val="none" w:color="FFFFFF" w:sz="0"/>
              <w:right w:val="none" w:color="FFFFFF" w:sz="0"/>
            </w:tcBorders>
            <w:shd w:fill="F8FAFC" w:val="clear"/>
            <w:tcMar>
              <w:top w:type="dxa" w:w="60"/>
              <w:left w:type="dxa" w:w="140"/>
              <w:bottom w:type="dxa" w:w="60"/>
              <w:right w:type="dxa" w:w="80"/>
            </w:tcMar>
          </w:tcPr>
          <w:p>
            <w:pPr>
              <w:spacing w:after="0" w:before="0"/>
            </w:pPr>
            <w:r>
              <w:rPr>
                <w:rFonts w:ascii="Calibri" w:cs="Calibri" w:eastAsia="Calibri" w:hAnsi="Calibri"/>
                <w:b/>
                <w:bCs/>
                <w:color w:val="2E5F8A"/>
                <w:sz w:val="18"/>
                <w:szCs w:val="18"/>
              </w:rPr>
              <w:t xml:space="preserve">Status</w:t>
            </w:r>
          </w:p>
        </w:tc>
        <w:tc>
          <w:tcPr>
            <w:tcW w:type="dxa" w:w="6760"/>
            <w:tcBorders>
              <w:top w:val="none" w:color="FFFFFF" w:sz="0"/>
              <w:left w:val="none" w:color="FFFFFF" w:sz="0"/>
              <w:bottom w:val="none" w:color="FFFFFF" w:sz="0"/>
              <w:right w:val="none" w:color="FFFFFF" w:sz="0"/>
            </w:tcBorders>
            <w:shd w:fill="F8FAFC" w:val="clear"/>
            <w:tcMar>
              <w:top w:type="dxa" w:w="60"/>
              <w:left w:type="dxa" w:w="120"/>
              <w:bottom w:type="dxa" w:w="60"/>
              <w:right w:type="dxa" w:w="120"/>
            </w:tcMar>
          </w:tcPr>
          <w:p>
            <w:pPr>
              <w:spacing w:after="0" w:before="0"/>
            </w:pPr>
            <w:r>
              <w:rPr>
                <w:rFonts w:ascii="Calibri" w:cs="Calibri" w:eastAsia="Calibri" w:hAnsi="Calibri"/>
                <w:color w:val="1A1A2E"/>
                <w:sz w:val="18"/>
                <w:szCs w:val="18"/>
              </w:rPr>
              <w:t xml:space="preserve">Active — Phase A in progress</w:t>
            </w:r>
          </w:p>
        </w:tc>
      </w:tr>
      <w:tr>
        <w:tc>
          <w:tcPr>
            <w:tcW w:type="dxa" w:w="2600"/>
            <w:tcBorders>
              <w:top w:val="none" w:color="FFFFFF" w:sz="0"/>
              <w:left w:val="none" w:color="FFFFFF" w:sz="0"/>
              <w:bottom w:val="none" w:color="FFFFFF" w:sz="0"/>
              <w:right w:val="none" w:color="FFFFFF" w:sz="0"/>
            </w:tcBorders>
            <w:shd w:fill="EEF2F7" w:val="clear"/>
            <w:tcMar>
              <w:top w:type="dxa" w:w="60"/>
              <w:left w:type="dxa" w:w="140"/>
              <w:bottom w:type="dxa" w:w="60"/>
              <w:right w:type="dxa" w:w="80"/>
            </w:tcMar>
          </w:tcPr>
          <w:p>
            <w:pPr>
              <w:spacing w:after="0" w:before="0"/>
            </w:pPr>
            <w:r>
              <w:rPr>
                <w:rFonts w:ascii="Calibri" w:cs="Calibri" w:eastAsia="Calibri" w:hAnsi="Calibri"/>
                <w:b/>
                <w:bCs/>
                <w:color w:val="2E5F8A"/>
                <w:sz w:val="18"/>
                <w:szCs w:val="18"/>
              </w:rPr>
              <w:t xml:space="preserve">Build State</w:t>
            </w:r>
          </w:p>
        </w:tc>
        <w:tc>
          <w:tcPr>
            <w:tcW w:type="dxa" w:w="6760"/>
            <w:tcBorders>
              <w:top w:val="none" w:color="FFFFFF" w:sz="0"/>
              <w:left w:val="none" w:color="FFFFFF" w:sz="0"/>
              <w:bottom w:val="none" w:color="FFFFFF" w:sz="0"/>
              <w:right w:val="none" w:color="FFFFFF" w:sz="0"/>
            </w:tcBorders>
            <w:shd w:fill="EEF2F7" w:val="clear"/>
            <w:tcMar>
              <w:top w:type="dxa" w:w="60"/>
              <w:left w:type="dxa" w:w="120"/>
              <w:bottom w:type="dxa" w:w="60"/>
              <w:right w:type="dxa" w:w="120"/>
            </w:tcMar>
          </w:tcPr>
          <w:p>
            <w:pPr>
              <w:spacing w:after="0" w:before="0"/>
            </w:pPr>
            <w:r>
              <w:rPr>
                <w:rFonts w:ascii="Calibri" w:cs="Calibri" w:eastAsia="Calibri" w:hAnsi="Calibri"/>
                <w:color w:val="1A1A2E"/>
                <w:sz w:val="18"/>
                <w:szCs w:val="18"/>
              </w:rPr>
              <w:t xml:space="preserve">A6d complete (Insights Dashboard)</w:t>
            </w:r>
          </w:p>
        </w:tc>
      </w:tr>
      <w:tr>
        <w:tc>
          <w:tcPr>
            <w:tcW w:type="dxa" w:w="2600"/>
            <w:tcBorders>
              <w:top w:val="none" w:color="FFFFFF" w:sz="0"/>
              <w:left w:val="none" w:color="FFFFFF" w:sz="0"/>
              <w:bottom w:val="none" w:color="FFFFFF" w:sz="0"/>
              <w:right w:val="none" w:color="FFFFFF" w:sz="0"/>
            </w:tcBorders>
            <w:shd w:fill="F8FAFC" w:val="clear"/>
            <w:tcMar>
              <w:top w:type="dxa" w:w="60"/>
              <w:left w:type="dxa" w:w="140"/>
              <w:bottom w:type="dxa" w:w="60"/>
              <w:right w:type="dxa" w:w="80"/>
            </w:tcMar>
          </w:tcPr>
          <w:p>
            <w:pPr>
              <w:spacing w:after="0" w:before="0"/>
            </w:pPr>
            <w:r>
              <w:rPr>
                <w:rFonts w:ascii="Calibri" w:cs="Calibri" w:eastAsia="Calibri" w:hAnsi="Calibri"/>
                <w:b/>
                <w:bCs/>
                <w:color w:val="2E5F8A"/>
                <w:sz w:val="18"/>
                <w:szCs w:val="18"/>
              </w:rPr>
              <w:t xml:space="preserve">Live App</w:t>
            </w:r>
          </w:p>
        </w:tc>
        <w:tc>
          <w:tcPr>
            <w:tcW w:type="dxa" w:w="6760"/>
            <w:tcBorders>
              <w:top w:val="none" w:color="FFFFFF" w:sz="0"/>
              <w:left w:val="none" w:color="FFFFFF" w:sz="0"/>
              <w:bottom w:val="none" w:color="FFFFFF" w:sz="0"/>
              <w:right w:val="none" w:color="FFFFFF" w:sz="0"/>
            </w:tcBorders>
            <w:shd w:fill="F8FAFC" w:val="clear"/>
            <w:tcMar>
              <w:top w:type="dxa" w:w="60"/>
              <w:left w:type="dxa" w:w="120"/>
              <w:bottom w:type="dxa" w:w="60"/>
              <w:right w:type="dxa" w:w="120"/>
            </w:tcMar>
          </w:tcPr>
          <w:p>
            <w:pPr>
              <w:spacing w:after="0" w:before="0"/>
            </w:pPr>
            <w:r>
              <w:rPr>
                <w:rFonts w:ascii="Calibri" w:cs="Calibri" w:eastAsia="Calibri" w:hAnsi="Calibri"/>
                <w:color w:val="1A1A2E"/>
                <w:sz w:val="18"/>
                <w:szCs w:val="18"/>
              </w:rPr>
              <w:t xml:space="preserve">krishna-yelnure.github.io/Reflect</w:t>
            </w:r>
          </w:p>
        </w:tc>
      </w:tr>
      <w:tr>
        <w:tc>
          <w:tcPr>
            <w:tcW w:type="dxa" w:w="2600"/>
            <w:tcBorders>
              <w:top w:val="none" w:color="FFFFFF" w:sz="0"/>
              <w:left w:val="none" w:color="FFFFFF" w:sz="0"/>
              <w:bottom w:val="none" w:color="FFFFFF" w:sz="0"/>
              <w:right w:val="none" w:color="FFFFFF" w:sz="0"/>
            </w:tcBorders>
            <w:shd w:fill="EEF2F7" w:val="clear"/>
            <w:tcMar>
              <w:top w:type="dxa" w:w="60"/>
              <w:left w:type="dxa" w:w="140"/>
              <w:bottom w:type="dxa" w:w="60"/>
              <w:right w:type="dxa" w:w="80"/>
            </w:tcMar>
          </w:tcPr>
          <w:p>
            <w:pPr>
              <w:spacing w:after="0" w:before="0"/>
            </w:pPr>
            <w:r>
              <w:rPr>
                <w:rFonts w:ascii="Calibri" w:cs="Calibri" w:eastAsia="Calibri" w:hAnsi="Calibri"/>
                <w:b/>
                <w:bCs/>
                <w:color w:val="2E5F8A"/>
                <w:sz w:val="18"/>
                <w:szCs w:val="18"/>
              </w:rPr>
              <w:t xml:space="preserve">Repository</w:t>
            </w:r>
          </w:p>
        </w:tc>
        <w:tc>
          <w:tcPr>
            <w:tcW w:type="dxa" w:w="6760"/>
            <w:tcBorders>
              <w:top w:val="none" w:color="FFFFFF" w:sz="0"/>
              <w:left w:val="none" w:color="FFFFFF" w:sz="0"/>
              <w:bottom w:val="none" w:color="FFFFFF" w:sz="0"/>
              <w:right w:val="none" w:color="FFFFFF" w:sz="0"/>
            </w:tcBorders>
            <w:shd w:fill="EEF2F7" w:val="clear"/>
            <w:tcMar>
              <w:top w:type="dxa" w:w="60"/>
              <w:left w:type="dxa" w:w="120"/>
              <w:bottom w:type="dxa" w:w="60"/>
              <w:right w:type="dxa" w:w="120"/>
            </w:tcMar>
          </w:tcPr>
          <w:p>
            <w:pPr>
              <w:spacing w:after="0" w:before="0"/>
            </w:pPr>
            <w:r>
              <w:rPr>
                <w:rFonts w:ascii="Calibri" w:cs="Calibri" w:eastAsia="Calibri" w:hAnsi="Calibri"/>
                <w:color w:val="1A1A2E"/>
                <w:sz w:val="18"/>
                <w:szCs w:val="18"/>
              </w:rPr>
              <w:t xml:space="preserve">github.com/Krishna-Yelnure/Reflect</w:t>
            </w:r>
          </w:p>
        </w:tc>
      </w:tr>
    </w:tbl>
    <w:p>
      <w:pPr>
        <w:spacing w:after="0" w:before="200" w:line="276"/>
        <w:jc w:val="left"/>
      </w:pPr>
      <w:r>
        <w:rPr>
          <w:rFonts w:ascii="Calibri" w:cs="Calibri" w:eastAsia="Calibri" w:hAnsi="Calibri"/>
          <w:b w:val="false"/>
          <w:bCs w:val="false"/>
          <w:i w:val="false"/>
          <w:iCs w:val="false"/>
          <w:color w:val="1A1A2E"/>
          <w:sz w:val="20"/>
          <w:szCs w:val="20"/>
        </w:rPr>
        <w:t xml:space="preserve"/>
      </w:r>
    </w:p>
    <w:p>
      <w:pPr>
        <w:spacing w:after="80" w:before="120"/>
      </w:pPr>
      <w:r>
        <w:rPr>
          <w:rFonts w:ascii="Calibri" w:cs="Calibri" w:eastAsia="Calibri" w:hAnsi="Calibri"/>
          <w:b/>
          <w:bCs/>
          <w:color w:val="2E5F8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rPr>
          <w:tblHeader/>
        </w:trPr>
        <w:tc>
          <w:tcPr>
            <w:tcW w:type="dxa" w:w="12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Version</w:t>
            </w:r>
          </w:p>
        </w:tc>
        <w:tc>
          <w:tcPr>
            <w:tcW w:type="dxa" w:w="1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Date</w:t>
            </w:r>
          </w:p>
        </w:tc>
        <w:tc>
          <w:tcPr>
            <w:tcW w:type="dxa" w:w="2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Author</w:t>
            </w:r>
          </w:p>
        </w:tc>
        <w:tc>
          <w:tcPr>
            <w:tcW w:type="dxa" w:w="47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Changes</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0.1</w:t>
            </w:r>
          </w:p>
        </w:tc>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28 Feb 2026</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Krishna Yelnure</w:t>
            </w:r>
          </w:p>
        </w:tc>
        <w:tc>
          <w:tcPr>
            <w:tcW w:type="dxa" w:w="4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Initial draft — Sessions A1–A2 state</w:t>
            </w:r>
          </w:p>
        </w:tc>
      </w:tr>
      <w:tr>
        <w:tc>
          <w:tcPr>
            <w:tcW w:type="dxa" w:w="1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1.0</w:t>
            </w:r>
          </w:p>
        </w:tc>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3 Mar 2026</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Krishna Yelnure</w:t>
            </w:r>
          </w:p>
        </w:tc>
        <w:tc>
          <w:tcPr>
            <w:tcW w:type="dxa" w:w="4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Doc Sprint Session 1 — all sections, updated to A6b state</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2.0</w:t>
            </w:r>
          </w:p>
        </w:tc>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Mar 2026</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Krishna Yelnure</w:t>
            </w:r>
          </w:p>
        </w:tc>
        <w:tc>
          <w:tcPr>
            <w:tcW w:type="dxa" w:w="4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Updated to A6d: Theme System, Insights Dashboard, app renamed to Reflect</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 </w:t>
      </w:r>
      <w:r>
        <w:rPr>
          <w:rFonts w:ascii="Calibri" w:cs="Calibri" w:eastAsia="Calibri" w:hAnsi="Calibri"/>
          <w:b/>
          <w:bCs/>
          <w:color w:val="1F3A5F"/>
          <w:sz w:val="26"/>
          <w:szCs w:val="26"/>
        </w:rPr>
        <w:t xml:space="preserve">EXECUTIVE SUMMARY</w:t>
      </w:r>
    </w:p>
    <w:p>
      <w:pPr>
        <w:spacing w:after="80" w:before="60" w:line="300"/>
        <w:jc w:val="left"/>
      </w:pPr>
      <w:r>
        <w:rPr>
          <w:rFonts w:ascii="Calibri" w:cs="Calibri" w:eastAsia="Calibri" w:hAnsi="Calibri"/>
          <w:b w:val="false"/>
          <w:bCs w:val="false"/>
          <w:i w:val="false"/>
          <w:iCs w:val="false"/>
          <w:color w:val="1A1A2E"/>
          <w:sz w:val="20"/>
          <w:szCs w:val="20"/>
        </w:rPr>
        <w:t xml:space="preserve">Reflect is a production-grade, privacy-first personal journalling application, live at krishna-yelnure.github.io/Reflect. It is designed for sustained daily use and built on a single governing principle: the user's journal is theirs alone. The application cannot read, analyse, or share entry content — by architecture, not by policy.</w:t>
      </w:r>
    </w:p>
    <w:p>
      <w:pPr>
        <w:pBdr>
          <w:left w:val="single" w:color="D97706" w:sz="18" w:space="8"/>
        </w:pBdr>
        <w:spacing w:after="120" w:before="120"/>
        <w:ind w:left="480" w:right="480"/>
      </w:pPr>
      <w:r>
        <w:rPr>
          <w:rFonts w:ascii="Calibri" w:cs="Calibri" w:eastAsia="Calibri" w:hAnsi="Calibri"/>
          <w:i/>
          <w:iCs/>
          <w:color w:val="4A4A6A"/>
          <w:sz w:val="20"/>
          <w:szCs w:val="20"/>
        </w:rPr>
        <w:t xml:space="preserve">"Your life, made legible."</w:t>
      </w:r>
    </w:p>
    <w:p>
      <w:pPr>
        <w:spacing w:after="80" w:before="160"/>
      </w:pPr>
      <w:r>
        <w:rPr>
          <w:rFonts w:ascii="Calibri" w:cs="Calibri" w:eastAsia="Calibri" w:hAnsi="Calibri"/>
          <w:b/>
          <w:bCs/>
          <w:color w:val="2E5F8A"/>
          <w:sz w:val="22"/>
          <w:szCs w:val="22"/>
        </w:rPr>
        <w:t xml:space="preserve">Current State — Session A6d (March 2026)</w:t>
      </w:r>
    </w:p>
    <w:p>
      <w:pPr>
        <w:spacing w:after="80" w:before="60" w:line="300"/>
        <w:jc w:val="left"/>
      </w:pPr>
      <w:r>
        <w:rPr>
          <w:rFonts w:ascii="Calibri" w:cs="Calibri" w:eastAsia="Calibri" w:hAnsi="Calibri"/>
          <w:b w:val="false"/>
          <w:bCs w:val="false"/>
          <w:i w:val="false"/>
          <w:iCs w:val="false"/>
          <w:color w:val="1A1A2E"/>
          <w:sz w:val="20"/>
          <w:szCs w:val="20"/>
        </w:rPr>
        <w:t xml:space="preserve">A fully functional journalling application with 11 navigation views. Core capabilities delivered to date: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Year heatmap with full drill-down (year → month → week → day)</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Three write modes: Quick Capture, Guided Write, and Deep Write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Weekly, monthly, and yearly reflection types with tailored fields</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Tag system with normalisation, inline autocomplete, and cross-view heatmap filter</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Five-theme visual system: Morning Light, Midnight, Forest, Minimal, and Warm — theme persists across sessions</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Insights Dashboard — rebuilt as a Witness-compliant analytics surface using 100% local heuristics; zero external data transmission</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Storage abstraction layer (db/index.ts) ready for Phase B swap</w:t>
      </w:r>
    </w:p>
    <w:p>
      <w:pPr>
        <w:spacing w:after="80" w:before="160"/>
      </w:pPr>
      <w:r>
        <w:rPr>
          <w:rFonts w:ascii="Calibri" w:cs="Calibri" w:eastAsia="Calibri" w:hAnsi="Calibri"/>
          <w:b/>
          <w:bCs/>
          <w:color w:val="2E5F8A"/>
          <w:sz w:val="22"/>
          <w:szCs w:val="22"/>
        </w:rPr>
        <w:t xml:space="preserve">Remaining Phase A Work</w:t>
      </w:r>
    </w:p>
    <w:p>
      <w:pPr>
        <w:spacing w:after="80" w:before="60" w:line="300"/>
        <w:jc w:val="left"/>
      </w:pPr>
      <w:r>
        <w:rPr>
          <w:rFonts w:ascii="Calibri" w:cs="Calibri" w:eastAsia="Calibri" w:hAnsi="Calibri"/>
          <w:b w:val="false"/>
          <w:bCs w:val="false"/>
          <w:i w:val="false"/>
          <w:iCs w:val="false"/>
          <w:color w:val="1A1A2E"/>
          <w:sz w:val="20"/>
          <w:szCs w:val="20"/>
        </w:rPr>
        <w:t xml:space="preserve">Sessions A7a through A11a cover era management, Inner Compass (values and questions), Threads redesign, and passive pattern connections. All are scoped and sequenced.</w:t>
      </w:r>
    </w:p>
    <w:p>
      <w:pPr>
        <w:spacing w:after="80" w:before="160"/>
      </w:pPr>
      <w:r>
        <w:rPr>
          <w:rFonts w:ascii="Calibri" w:cs="Calibri" w:eastAsia="Calibri" w:hAnsi="Calibri"/>
          <w:b/>
          <w:bCs/>
          <w:color w:val="2E5F8A"/>
          <w:sz w:val="22"/>
          <w:szCs w:val="22"/>
        </w:rPr>
        <w:t xml:space="preserve">Portfolio Significance</w:t>
      </w:r>
    </w:p>
    <w:p>
      <w:pPr>
        <w:spacing w:after="80" w:before="60" w:line="300"/>
        <w:jc w:val="left"/>
      </w:pPr>
      <w:r>
        <w:rPr>
          <w:rFonts w:ascii="Calibri" w:cs="Calibri" w:eastAsia="Calibri" w:hAnsi="Calibri"/>
          <w:b w:val="false"/>
          <w:bCs w:val="false"/>
          <w:i w:val="false"/>
          <w:iCs w:val="false"/>
          <w:color w:val="1A1A2E"/>
          <w:sz w:val="20"/>
          <w:szCs w:val="20"/>
        </w:rPr>
        <w:t xml:space="preserve">This project documents the full BA/PM lifecycle: problem definition, competitive positioning, philosophy-driven product decisions, and architecture choices with explicit rationale. Every decision is traceable through BUILDLOG.md. The process itself is the portfolio artefact — not only the finished product.</w:t>
      </w:r>
    </w:p>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2. </w:t>
      </w:r>
      <w:r>
        <w:rPr>
          <w:rFonts w:ascii="Calibri" w:cs="Calibri" w:eastAsia="Calibri" w:hAnsi="Calibri"/>
          <w:b/>
          <w:bCs/>
          <w:color w:val="1F3A5F"/>
          <w:sz w:val="26"/>
          <w:szCs w:val="26"/>
        </w:rPr>
        <w:t xml:space="preserve">PROBLEM STATEMENT</w:t>
      </w:r>
    </w:p>
    <w:p>
      <w:pPr>
        <w:spacing w:after="60" w:before="160"/>
      </w:pPr>
      <w:r>
        <w:rPr>
          <w:rFonts w:ascii="Calibri" w:cs="Calibri" w:eastAsia="Calibri" w:hAnsi="Calibri"/>
          <w:b/>
          <w:bCs/>
          <w:color w:val="1A1A2E"/>
          <w:sz w:val="20"/>
          <w:szCs w:val="20"/>
        </w:rPr>
        <w:t xml:space="preserve">2.1  The Trust Problem</w:t>
      </w:r>
    </w:p>
    <w:p>
      <w:pPr>
        <w:spacing w:after="80" w:before="60" w:line="300"/>
        <w:jc w:val="left"/>
      </w:pPr>
      <w:r>
        <w:rPr>
          <w:rFonts w:ascii="Calibri" w:cs="Calibri" w:eastAsia="Calibri" w:hAnsi="Calibri"/>
          <w:b w:val="false"/>
          <w:bCs w:val="false"/>
          <w:i w:val="false"/>
          <w:iCs w:val="false"/>
          <w:color w:val="1A1A2E"/>
          <w:sz w:val="20"/>
          <w:szCs w:val="20"/>
        </w:rPr>
        <w:t xml:space="preserve">The leading journalling applications — Day One, Notion, Reflectly, Journey — store entry content on company servers. They can read that content. Their business models create incentive to do so and their terms of service permit it. Users who are aware of this do not write honestly. They write with an audience in mind. That fundamentally compromises the value of keeping a journal.</w:t>
      </w:r>
    </w:p>
    <w:p>
      <w:pPr>
        <w:pBdr>
          <w:left w:val="single" w:color="D97706" w:sz="18" w:space="8"/>
        </w:pBdr>
        <w:spacing w:after="120" w:before="120"/>
        <w:ind w:left="480" w:right="480"/>
      </w:pPr>
      <w:r>
        <w:rPr>
          <w:rFonts w:ascii="Calibri" w:cs="Calibri" w:eastAsia="Calibri" w:hAnsi="Calibri"/>
          <w:i/>
          <w:iCs/>
          <w:color w:val="4A4A6A"/>
          <w:sz w:val="20"/>
          <w:szCs w:val="20"/>
        </w:rPr>
        <w:t xml:space="preserve">"A journal kept in a proprietary cloud app is a journal that can be taken away. A journal kept in a local file, in human-readable JSON, backed up wherever the user chooses — that is a journal that lasts a lifetime."</w:t>
      </w:r>
    </w:p>
    <w:p>
      <w:pPr>
        <w:spacing w:after="60" w:before="160"/>
      </w:pPr>
      <w:r>
        <w:rPr>
          <w:rFonts w:ascii="Calibri" w:cs="Calibri" w:eastAsia="Calibri" w:hAnsi="Calibri"/>
          <w:b/>
          <w:bCs/>
          <w:color w:val="1A1A2E"/>
          <w:sz w:val="20"/>
          <w:szCs w:val="20"/>
        </w:rPr>
        <w:t xml:space="preserve">2.2  The Manager Problem</w:t>
      </w:r>
    </w:p>
    <w:p>
      <w:pPr>
        <w:spacing w:after="80" w:before="60" w:line="300"/>
        <w:jc w:val="left"/>
      </w:pPr>
      <w:r>
        <w:rPr>
          <w:rFonts w:ascii="Calibri" w:cs="Calibri" w:eastAsia="Calibri" w:hAnsi="Calibri"/>
          <w:b w:val="false"/>
          <w:bCs w:val="false"/>
          <w:i w:val="false"/>
          <w:iCs w:val="false"/>
          <w:color w:val="1A1A2E"/>
          <w:sz w:val="20"/>
          <w:szCs w:val="20"/>
        </w:rPr>
        <w:t xml:space="preserve">Most journalling apps treat the act of writing as a productivity activity. They introduce streak counters, mood scores, completion metrics, and writing goals. The effect is predictable: journalling becomes a task to be completed rather than a practice to be inhabited. A person going through a difficult period who cannot write for three weeks does not need their streak broken. They need a journal that waits without registering the absence.</w:t>
      </w:r>
    </w:p>
    <w:p>
      <w:pPr>
        <w:spacing w:after="60" w:before="160"/>
      </w:pPr>
      <w:r>
        <w:rPr>
          <w:rFonts w:ascii="Calibri" w:cs="Calibri" w:eastAsia="Calibri" w:hAnsi="Calibri"/>
          <w:b/>
          <w:bCs/>
          <w:color w:val="1A1A2E"/>
          <w:sz w:val="20"/>
          <w:szCs w:val="20"/>
        </w:rPr>
        <w:t xml:space="preserve">2.3  The Permanence Problem</w:t>
      </w:r>
    </w:p>
    <w:p>
      <w:pPr>
        <w:spacing w:after="80" w:before="60" w:line="300"/>
        <w:jc w:val="left"/>
      </w:pPr>
      <w:r>
        <w:rPr>
          <w:rFonts w:ascii="Calibri" w:cs="Calibri" w:eastAsia="Calibri" w:hAnsi="Calibri"/>
          <w:b w:val="false"/>
          <w:bCs w:val="false"/>
          <w:i w:val="false"/>
          <w:iCs w:val="false"/>
          <w:color w:val="1A1A2E"/>
          <w:sz w:val="20"/>
          <w:szCs w:val="20"/>
        </w:rPr>
        <w:t xml:space="preserve">A person who journals daily for 27 years and then loses access to those entries has lost something without replacement. This outcome — the Day 10,000 scenario — is the north star for every architecture decision. Any solution that does not guarantee permanence, portability, and an open data format is an incomplete solution.</w:t>
      </w:r>
    </w:p>
    <w:p>
      <w:pPr>
        <w:spacing w:after="60" w:before="160"/>
      </w:pPr>
      <w:r>
        <w:rPr>
          <w:rFonts w:ascii="Calibri" w:cs="Calibri" w:eastAsia="Calibri" w:hAnsi="Calibri"/>
          <w:b/>
          <w:bCs/>
          <w:color w:val="1A1A2E"/>
          <w:sz w:val="20"/>
          <w:szCs w:val="20"/>
        </w:rPr>
        <w:t xml:space="preserve">2.4  Problem Summary</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Problem</w:t>
            </w:r>
          </w:p>
        </w:tc>
        <w:tc>
          <w:tcPr>
            <w:tcW w:type="dxa" w:w="2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User Impact</w:t>
            </w:r>
          </w:p>
        </w:tc>
        <w:tc>
          <w:tcPr>
            <w:tcW w:type="dxa" w:w="45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Why Current Solutions Fail</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Privacy — readable by companies</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Users self-censor; entries lose authenticity</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Cloud-first by default; business model incentivises data use</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Manager philosophy — streaks, metrics</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Writing becomes compliance, not reflection</w:t>
            </w:r>
          </w:p>
        </w:tc>
        <w:tc>
          <w:tcPr>
            <w:tcW w:type="dxa" w:w="4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Engagement metrics drive product decisions; retention measured by daily activity</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Permanence — proprietary formats</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Years of writing can be lost or made inaccessible</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 open export; company closure ends access</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Friction — rigid structure</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Users abandon on low-energy days</w:t>
            </w:r>
          </w:p>
        </w:tc>
        <w:tc>
          <w:tcPr>
            <w:tcW w:type="dxa" w:w="4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One-size-fits-all approach; no mode for fast capture alongside deep writing</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3. </w:t>
      </w:r>
      <w:r>
        <w:rPr>
          <w:rFonts w:ascii="Calibri" w:cs="Calibri" w:eastAsia="Calibri" w:hAnsi="Calibri"/>
          <w:b/>
          <w:bCs/>
          <w:color w:val="1F3A5F"/>
          <w:sz w:val="26"/>
          <w:szCs w:val="26"/>
        </w:rPr>
        <w:t xml:space="preserve">PRODUCT PHILOSOPHY — THE WITNESS</w:t>
      </w:r>
    </w:p>
    <w:p>
      <w:pPr>
        <w:spacing w:after="60" w:before="160"/>
      </w:pPr>
      <w:r>
        <w:rPr>
          <w:rFonts w:ascii="Calibri" w:cs="Calibri" w:eastAsia="Calibri" w:hAnsi="Calibri"/>
          <w:b/>
          <w:bCs/>
          <w:color w:val="1A1A2E"/>
          <w:sz w:val="20"/>
          <w:szCs w:val="20"/>
        </w:rPr>
        <w:t xml:space="preserve">3.1  The Governing Principle</w:t>
      </w:r>
    </w:p>
    <w:p>
      <w:pPr>
        <w:pBdr>
          <w:left w:val="single" w:color="D97706" w:sz="18" w:space="8"/>
        </w:pBdr>
        <w:spacing w:after="120" w:before="120"/>
        <w:ind w:left="480" w:right="480"/>
      </w:pPr>
      <w:r>
        <w:rPr>
          <w:rFonts w:ascii="Calibri" w:cs="Calibri" w:eastAsia="Calibri" w:hAnsi="Calibri"/>
          <w:i/>
          <w:iCs/>
          <w:color w:val="4A4A6A"/>
          <w:sz w:val="20"/>
          <w:szCs w:val="20"/>
        </w:rPr>
        <w:t xml:space="preserve">The test applied to every feature, copy decision, and product choice: "Does this make the application feel more like a witness — or more like a manager?" A manager answer means the feature does not ship.</w:t>
      </w:r>
    </w:p>
    <w:p>
      <w:pPr>
        <w:spacing w:after="80" w:before="60" w:line="300"/>
        <w:jc w:val="left"/>
      </w:pPr>
      <w:r>
        <w:rPr>
          <w:rFonts w:ascii="Calibri" w:cs="Calibri" w:eastAsia="Calibri" w:hAnsi="Calibri"/>
          <w:b w:val="false"/>
          <w:bCs w:val="false"/>
          <w:i w:val="false"/>
          <w:iCs w:val="false"/>
          <w:color w:val="1A1A2E"/>
          <w:sz w:val="20"/>
          <w:szCs w:val="20"/>
        </w:rPr>
        <w:t xml:space="preserve">The application is designed as a witness. It holds what the user gives it. It surfaces past writing when the moment is right. It makes existing patterns legible without interpreting them. It does not prescribe, score, or evaluate.</w:t>
      </w:r>
    </w:p>
    <w:p>
      <w:pPr>
        <w:spacing w:after="60" w:before="160"/>
      </w:pPr>
      <w:r>
        <w:rPr>
          <w:rFonts w:ascii="Calibri" w:cs="Calibri" w:eastAsia="Calibri" w:hAnsi="Calibri"/>
          <w:b/>
          <w:bCs/>
          <w:color w:val="1A1A2E"/>
          <w:sz w:val="20"/>
          <w:szCs w:val="20"/>
        </w:rPr>
        <w:t xml:space="preserve">3.2  The Three Layers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Layer</w:t>
            </w:r>
          </w:p>
        </w:tc>
        <w:tc>
          <w:tcPr>
            <w:tcW w:type="dxa" w:w="22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Name</w:t>
            </w:r>
          </w:p>
        </w:tc>
        <w:tc>
          <w:tcPr>
            <w:tcW w:type="dxa" w:w="57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Description</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1</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The Witness</w:t>
            </w:r>
          </w:p>
        </w:tc>
        <w:tc>
          <w:tcPr>
            <w:tcW w:type="dxa" w:w="5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Passive storage — permanent and unaltered. Entries are held exactly as written. No summarisation, no analysis, no processing.</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2</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The Mirror</w:t>
            </w:r>
          </w:p>
        </w:tc>
        <w:tc>
          <w:tcPr>
            <w:tcW w:type="dxa" w:w="5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Reflective, not passive. The heatmap, year-ago surfacing, and mood patterns show users themselves across time. Shows emotional texture, never quality.</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3</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The Patterns Surface</w:t>
            </w:r>
          </w:p>
        </w:tc>
        <w:tc>
          <w:tcPr>
            <w:tcW w:type="dxa" w:w="5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Patterns emerge from what users have written and labelled. Co-occurrence only — never causation. Presence only — never absence.</w:t>
            </w:r>
          </w:p>
        </w:tc>
      </w:tr>
    </w:tbl>
    <w:p>
      <w:pPr>
        <w:spacing w:after="60" w:before="160"/>
      </w:pPr>
      <w:r>
        <w:rPr>
          <w:rFonts w:ascii="Calibri" w:cs="Calibri" w:eastAsia="Calibri" w:hAnsi="Calibri"/>
          <w:b/>
          <w:bCs/>
          <w:color w:val="1A1A2E"/>
          <w:sz w:val="20"/>
          <w:szCs w:val="20"/>
        </w:rPr>
        <w:t xml:space="preserve">3.3  Deliberate Non-Features</w:t>
      </w:r>
    </w:p>
    <w:p>
      <w:pPr>
        <w:spacing w:after="80" w:before="60" w:line="300"/>
        <w:jc w:val="left"/>
      </w:pPr>
      <w:r>
        <w:rPr>
          <w:rFonts w:ascii="Calibri" w:cs="Calibri" w:eastAsia="Calibri" w:hAnsi="Calibri"/>
          <w:b w:val="false"/>
          <w:bCs w:val="false"/>
          <w:i w:val="false"/>
          <w:iCs w:val="false"/>
          <w:color w:val="1A1A2E"/>
          <w:sz w:val="20"/>
          <w:szCs w:val="20"/>
        </w:rPr>
        <w:t xml:space="preserve">The following were evaluated and permanently rejected. Each rejection is a product decision, not a limitation.</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Feature</w:t>
            </w:r>
          </w:p>
        </w:tc>
        <w:tc>
          <w:tcPr>
            <w:tcW w:type="dxa" w:w="15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Verdict</w:t>
            </w:r>
          </w:p>
        </w:tc>
        <w:tc>
          <w:tcPr>
            <w:tcW w:type="dxa" w:w="56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Rationale</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Streak counters</w:t>
            </w:r>
          </w:p>
        </w:tc>
        <w:tc>
          <w:tcPr>
            <w:tcW w:type="dxa" w:w="15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Never — permanent</w:t>
            </w:r>
          </w:p>
        </w:tc>
        <w:tc>
          <w:tcPr>
            <w:tcW w:type="dxa" w:w="56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Converts journalling into compliance. A person in crisis who cannot write loses their streak. That is a harm, not a neutral mechanic.</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AI reading entry content</w:t>
            </w:r>
          </w:p>
        </w:tc>
        <w:tc>
          <w:tcPr>
            <w:tcW w:type="dxa" w:w="15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Never — permanent</w:t>
            </w:r>
          </w:p>
        </w:tc>
        <w:tc>
          <w:tcPr>
            <w:tcW w:type="dxa" w:w="56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Creates a reader for writing intended to have none. The E2E encrypted sync architecture enforces this: no server-side reader is possible.</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Social sharing</w:t>
            </w:r>
          </w:p>
        </w:tc>
        <w:tc>
          <w:tcPr>
            <w:tcW w:type="dxa" w:w="15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Never — permanent</w:t>
            </w:r>
          </w:p>
        </w:tc>
        <w:tc>
          <w:tcPr>
            <w:tcW w:type="dxa" w:w="56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Private by design. The knowledge that entries could be shared changes what is written. The journal becomes performance.</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Telemetry / analytics</w:t>
            </w:r>
          </w:p>
        </w:tc>
        <w:tc>
          <w:tcPr>
            <w:tcW w:type="dxa" w:w="15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Never — permanent</w:t>
            </w:r>
          </w:p>
        </w:tc>
        <w:tc>
          <w:tcPr>
            <w:tcW w:type="dxa" w:w="56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Zero data leaves the device. Privacy is an architectural commitment, not a setting the user must find and enable.</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Urgency notifications</w:t>
            </w:r>
          </w:p>
        </w:tc>
        <w:tc>
          <w:tcPr>
            <w:tcW w:type="dxa" w:w="15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Never — permanent</w:t>
            </w:r>
          </w:p>
        </w:tc>
        <w:tc>
          <w:tcPr>
            <w:tcW w:type="dxa" w:w="56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Calm technology. The application waits for the user. It does not summon them.</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Word count targets</w:t>
            </w:r>
          </w:p>
        </w:tc>
        <w:tc>
          <w:tcPr>
            <w:tcW w:type="dxa" w:w="15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64748B"/>
                <w:sz w:val="18"/>
                <w:szCs w:val="18"/>
              </w:rPr>
              <w:t xml:space="preserve">Removed — A2b</w:t>
            </w:r>
          </w:p>
        </w:tc>
        <w:tc>
          <w:tcPr>
            <w:tcW w:type="dxa" w:w="56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Volume is not a proxy for quality. Removed before first build session.</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Hard day counts in statistics</w:t>
            </w:r>
          </w:p>
        </w:tc>
        <w:tc>
          <w:tcPr>
            <w:tcW w:type="dxa" w:w="15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Never — permanent</w:t>
            </w:r>
          </w:p>
        </w:tc>
        <w:tc>
          <w:tcPr>
            <w:tcW w:type="dxa" w:w="56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Negative tallies serve no purpose a witness would endorse. The heatmap shows shape; it does not score periods.</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Prompt chips above writing fields</w:t>
            </w:r>
          </w:p>
        </w:tc>
        <w:tc>
          <w:tcPr>
            <w:tcW w:type="dxa" w:w="15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64748B"/>
                <w:sz w:val="18"/>
                <w:szCs w:val="18"/>
              </w:rPr>
              <w:t xml:space="preserve">Built and removed — A5a</w:t>
            </w:r>
          </w:p>
        </w:tc>
        <w:tc>
          <w:tcPr>
            <w:tcW w:type="dxa" w:w="56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Introduced visual clutter before writing began. Placeholders carry the same function without the overhead.</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4. </w:t>
      </w:r>
      <w:r>
        <w:rPr>
          <w:rFonts w:ascii="Calibri" w:cs="Calibri" w:eastAsia="Calibri" w:hAnsi="Calibri"/>
          <w:b/>
          <w:bCs/>
          <w:color w:val="1F3A5F"/>
          <w:sz w:val="26"/>
          <w:szCs w:val="26"/>
        </w:rPr>
        <w:t xml:space="preserve">COMPETITIVE LANDSCAPE</w:t>
      </w:r>
    </w:p>
    <w:p>
      <w:pPr>
        <w:spacing w:after="60" w:before="160"/>
      </w:pPr>
      <w:r>
        <w:rPr>
          <w:rFonts w:ascii="Calibri" w:cs="Calibri" w:eastAsia="Calibri" w:hAnsi="Calibri"/>
          <w:b/>
          <w:bCs/>
          <w:color w:val="1A1A2E"/>
          <w:sz w:val="20"/>
          <w:szCs w:val="20"/>
        </w:rPr>
        <w:t xml:space="preserve">4.1  Primary Competitors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800"/>
        <w:gridCol w:w="2960"/>
      </w:tblGrid>
      <w:tr>
        <w:trPr>
          <w:tblHeader/>
        </w:trPr>
        <w:tc>
          <w:tcPr>
            <w:tcW w:type="dxa" w:w="1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App</w:t>
            </w:r>
          </w:p>
        </w:tc>
        <w:tc>
          <w:tcPr>
            <w:tcW w:type="dxa" w:w="1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Storage</w:t>
            </w:r>
          </w:p>
        </w:tc>
        <w:tc>
          <w:tcPr>
            <w:tcW w:type="dxa" w:w="1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Philosophy</w:t>
            </w:r>
          </w:p>
        </w:tc>
        <w:tc>
          <w:tcPr>
            <w:tcW w:type="dxa" w:w="1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Privacy</w:t>
            </w:r>
          </w:p>
        </w:tc>
        <w:tc>
          <w:tcPr>
            <w:tcW w:type="dxa" w:w="29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Primary Weakness</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Day One</w:t>
            </w:r>
          </w:p>
        </w:tc>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Cloud (local optional)</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Memory + streaks</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Server-stored</w:t>
            </w:r>
          </w:p>
        </w:tc>
        <w:tc>
          <w:tcPr>
            <w:tcW w:type="dxa" w:w="2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Subscription required; streak mechanics; cloud dependency</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Notion</w:t>
            </w:r>
          </w:p>
        </w:tc>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Cloud only</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Productivity / organisation</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AI reads content</w:t>
            </w:r>
          </w:p>
        </w:tc>
        <w:tc>
          <w:tcPr>
            <w:tcW w:type="dxa" w:w="2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Not a journal; AI reads entries; no journalling philosophy</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Reflectly</w:t>
            </w:r>
          </w:p>
        </w:tc>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Cloud only</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AI mood coaching</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AI reads entries</w:t>
            </w:r>
          </w:p>
        </w:tc>
        <w:tc>
          <w:tcPr>
            <w:tcW w:type="dxa" w:w="2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Entries analysed by AI; manager philosophy; subscription gates core features</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Journey</w:t>
            </w:r>
          </w:p>
        </w:tc>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Cloud (local optional)</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Life logging</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Cloud-first</w:t>
            </w:r>
          </w:p>
        </w:tc>
        <w:tc>
          <w:tcPr>
            <w:tcW w:type="dxa" w:w="2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Fragmented UX; feature complexity without depth</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Bear / Obsidian</w:t>
            </w:r>
          </w:p>
        </w:tc>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Local-first</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Note-taking</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Strong — local</w:t>
            </w:r>
          </w:p>
        </w:tc>
        <w:tc>
          <w:tcPr>
            <w:tcW w:type="dxa" w:w="2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Not designed as a journal; no reflection system; no mood architecture</w:t>
            </w:r>
          </w:p>
        </w:tc>
      </w:tr>
    </w:tbl>
    <w:p>
      <w:pPr>
        <w:spacing w:after="60" w:before="160"/>
      </w:pPr>
      <w:r>
        <w:rPr>
          <w:rFonts w:ascii="Calibri" w:cs="Calibri" w:eastAsia="Calibri" w:hAnsi="Calibri"/>
          <w:b/>
          <w:bCs/>
          <w:color w:val="1A1A2E"/>
          <w:sz w:val="20"/>
          <w:szCs w:val="20"/>
        </w:rPr>
        <w:t xml:space="preserve">4.2  Competitive Differentiation — Reflect</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Dimension</w:t>
            </w:r>
          </w:p>
        </w:tc>
        <w:tc>
          <w:tcPr>
            <w:tcW w:type="dxa" w:w="348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Reflect</w:t>
            </w:r>
          </w:p>
        </w:tc>
        <w:tc>
          <w:tcPr>
            <w:tcW w:type="dxa" w:w="348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Market Standard</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Data residency</w:t>
            </w:r>
          </w:p>
        </w:tc>
        <w:tc>
          <w:tcPr>
            <w:tcW w:type="dxa" w:w="348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Local-first; file on device</w:t>
            </w:r>
          </w:p>
        </w:tc>
        <w:tc>
          <w:tcPr>
            <w:tcW w:type="dxa" w:w="348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Cloud server; user cannot control location</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Product philosophy</w:t>
            </w:r>
          </w:p>
        </w:tc>
        <w:tc>
          <w:tcPr>
            <w:tcW w:type="dxa" w:w="348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Witness — holds, never judges</w:t>
            </w:r>
          </w:p>
        </w:tc>
        <w:tc>
          <w:tcPr>
            <w:tcW w:type="dxa" w:w="348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Manager — tracks, rewards, nudges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AI and entry content</w:t>
            </w:r>
          </w:p>
        </w:tc>
        <w:tc>
          <w:tcPr>
            <w:tcW w:type="dxa" w:w="348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None — architecturally prohibited</w:t>
            </w:r>
          </w:p>
        </w:tc>
        <w:tc>
          <w:tcPr>
            <w:tcW w:type="dxa" w:w="348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AI reads entries to generate insights</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Streak mechanics</w:t>
            </w:r>
          </w:p>
        </w:tc>
        <w:tc>
          <w:tcPr>
            <w:tcW w:type="dxa" w:w="348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Not built — rejected by design</w:t>
            </w:r>
          </w:p>
        </w:tc>
        <w:tc>
          <w:tcPr>
            <w:tcW w:type="dxa" w:w="348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Standard engagement mechanic</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Export format</w:t>
            </w:r>
          </w:p>
        </w:tc>
        <w:tc>
          <w:tcPr>
            <w:tcW w:type="dxa" w:w="348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Human-readable JSON, always available</w:t>
            </w:r>
          </w:p>
        </w:tc>
        <w:tc>
          <w:tcPr>
            <w:tcW w:type="dxa" w:w="348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Proprietary or limited; often behind subscription</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Business model</w:t>
            </w:r>
          </w:p>
        </w:tc>
        <w:tc>
          <w:tcPr>
            <w:tcW w:type="dxa" w:w="348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Free local + optional paid sync</w:t>
            </w:r>
          </w:p>
        </w:tc>
        <w:tc>
          <w:tcPr>
            <w:tcW w:type="dxa" w:w="348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Subscription required for full functionality</w:t>
            </w:r>
          </w:p>
        </w:tc>
      </w:tr>
    </w:tbl>
    <w:p>
      <w:pPr>
        <w:spacing w:after="80" w:before="120" w:line="300"/>
        <w:jc w:val="left"/>
      </w:pPr>
      <w:r>
        <w:rPr>
          <w:rFonts w:ascii="Calibri" w:cs="Calibri" w:eastAsia="Calibri" w:hAnsi="Calibri"/>
          <w:b w:val="false"/>
          <w:bCs w:val="false"/>
          <w:i w:val="false"/>
          <w:iCs w:val="false"/>
          <w:color w:val="1A1A2E"/>
          <w:sz w:val="20"/>
          <w:szCs w:val="20"/>
        </w:rPr>
        <w:t xml:space="preserve">Reflect occupies a position no current mainstream competitor holds: privacy-first with a documented philosophical foundation, local-first architecture, and an open data format. The nearest comparisons are Bear and Obsidian — local-first but general writing tools without journalling-specific design. The Obsidian free-local + paid-sync model is the validated template this product follows.</w:t>
      </w:r>
    </w:p>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5. </w:t>
      </w:r>
      <w:r>
        <w:rPr>
          <w:rFonts w:ascii="Calibri" w:cs="Calibri" w:eastAsia="Calibri" w:hAnsi="Calibri"/>
          <w:b/>
          <w:bCs/>
          <w:color w:val="1F3A5F"/>
          <w:sz w:val="26"/>
          <w:szCs w:val="26"/>
        </w:rPr>
        <w:t xml:space="preserve">AS-IS STATE — BUILD A6D (MARCH 2026)</w:t>
      </w:r>
    </w:p>
    <w:p>
      <w:pPr>
        <w:spacing w:after="60" w:before="160"/>
      </w:pPr>
      <w:r>
        <w:rPr>
          <w:rFonts w:ascii="Calibri" w:cs="Calibri" w:eastAsia="Calibri" w:hAnsi="Calibri"/>
          <w:b/>
          <w:bCs/>
          <w:color w:val="1A1A2E"/>
          <w:sz w:val="20"/>
          <w:szCs w:val="20"/>
        </w:rPr>
        <w:t xml:space="preserve">5.1  Completed Sessions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1600"/>
        <w:gridCol w:w="800"/>
      </w:tblGrid>
      <w:tr>
        <w:trPr>
          <w:tblHeader/>
        </w:trPr>
        <w:tc>
          <w:tcPr>
            <w:tcW w:type="dxa" w:w="9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Session</w:t>
            </w:r>
          </w:p>
        </w:tc>
        <w:tc>
          <w:tcPr>
            <w:tcW w:type="dxa" w:w="60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Deliverable</w:t>
            </w:r>
          </w:p>
        </w:tc>
        <w:tc>
          <w:tcPr>
            <w:tcW w:type="dxa" w:w="16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Date</w:t>
            </w:r>
          </w:p>
        </w:tc>
        <w:tc>
          <w:tcPr>
            <w:tcW w:type="dxa" w:w="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
            </w:r>
          </w:p>
        </w:tc>
      </w:tr>
      <w:tr>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w:t>
            </w:r>
          </w:p>
        </w:tc>
        <w:tc>
          <w:tcPr>
            <w:tcW w:type="dxa" w:w="60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Application running in browser; GitHub repo configured; 14 original views confirmed</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27 Feb 2026</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A2</w:t>
            </w:r>
          </w:p>
        </w:tc>
        <w:tc>
          <w:tcPr>
            <w:tcW w:type="dxa" w:w="60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Storage abstraction layer (db/index.ts); sidebar navigation redesign</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28 Feb 2026</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A3</w:t>
            </w:r>
          </w:p>
        </w:tc>
        <w:tc>
          <w:tcPr>
            <w:tcW w:type="dxa" w:w="60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Mood selector — emoji cards with colour wash; energy selector — signal bar</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28 Feb 2026</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A3b</w:t>
            </w:r>
          </w:p>
        </w:tc>
        <w:tc>
          <w:tcPr>
            <w:tcW w:type="dxa" w:w="60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TimelineView: year heatmap, drill-down to day, breadcrumb navigation</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28 Feb 2026</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A4</w:t>
            </w:r>
          </w:p>
        </w:tc>
        <w:tc>
          <w:tcPr>
            <w:tcW w:type="dxa" w:w="60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Write modes (Quick/Guided/Deep); contextual prompt strip; closing moment</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28 Feb 2026</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A4b</w:t>
            </w:r>
          </w:p>
        </w:tc>
        <w:tc>
          <w:tcPr>
            <w:tcW w:type="dxa" w:w="60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Weekly/monthly/yearly reflection types; synthetic date keys; reflection dots</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28 Feb 2026</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A4c</w:t>
            </w:r>
          </w:p>
        </w:tc>
        <w:tc>
          <w:tcPr>
            <w:tcW w:type="dxa" w:w="60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ReflectionPanel inline; intentions loop; dynamic sidebar; dot states</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1 Mar 2026</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A4d</w:t>
            </w:r>
          </w:p>
        </w:tc>
        <w:tc>
          <w:tcPr>
            <w:tcW w:type="dxa" w:w="60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WelcomeCard; today cell pulse; daily opening prompt; year-in-numbers</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1 Mar 2026</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A5a</w:t>
            </w:r>
          </w:p>
        </w:tc>
        <w:tc>
          <w:tcPr>
            <w:tcW w:type="dxa" w:w="60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oneWord field; staggered animations; closing lines audit</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1 Mar 2026</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A5b</w:t>
            </w:r>
          </w:p>
        </w:tc>
        <w:tc>
          <w:tcPr>
            <w:tcW w:type="dxa" w:w="60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Typography (Cormorant Garamond + DM Sans); mood language audit; DayView polish</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 Mar 2026</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A4e</w:t>
            </w:r>
          </w:p>
        </w:tc>
        <w:tc>
          <w:tcPr>
            <w:tcW w:type="dxa" w:w="60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Deep Write: word count; typewriter scroll; amber caret; display font headings</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 Mar 2026</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A6a</w:t>
            </w:r>
          </w:p>
        </w:tc>
        <w:tc>
          <w:tcPr>
            <w:tcW w:type="dxa" w:w="60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Tag normalisation (normaliseTags()); TagManager: autocomplete, Enter/comma</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 Mar 2026</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A6b</w:t>
            </w:r>
          </w:p>
        </w:tc>
        <w:tc>
          <w:tcPr>
            <w:tcW w:type="dxa" w:w="60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Tag filter: clickable from DayView; filter strip; heatmap fade; all drill levels</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 Mar 2026</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Theme</w:t>
            </w:r>
          </w:p>
        </w:tc>
        <w:tc>
          <w:tcPr>
            <w:tcW w:type="dxa" w:w="60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5-theme visual system: Morning Light, Midnight, Forest, Minimal, Warm — persists via localStorage</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Mar 2026</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Bug Fix</w:t>
            </w:r>
          </w:p>
        </w:tc>
        <w:tc>
          <w:tcPr>
            <w:tcW w:type="dxa" w:w="60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Resolved global transition animation regression caused by transition-all on structural elements</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Mar 2026</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r>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A6d</w:t>
            </w:r>
          </w:p>
        </w:tc>
        <w:tc>
          <w:tcPr>
            <w:tcW w:type="dxa" w:w="60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Insights Dashboard: Witness-compliant redesign; Language Fingerprint; 100% local AI; time filters</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25 Mar 2026</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Complete</w:t>
            </w:r>
          </w:p>
        </w:tc>
      </w:tr>
    </w:tbl>
    <w:p>
      <w:pPr>
        <w:spacing w:after="60" w:before="160"/>
      </w:pPr>
      <w:r>
        <w:rPr>
          <w:rFonts w:ascii="Calibri" w:cs="Calibri" w:eastAsia="Calibri" w:hAnsi="Calibri"/>
          <w:b/>
          <w:bCs/>
          <w:color w:val="1A1A2E"/>
          <w:sz w:val="20"/>
          <w:szCs w:val="20"/>
        </w:rPr>
        <w:t xml:space="preserve">5.2  Current Feature State</w:t>
      </w:r>
    </w:p>
    <w:p>
      <w:pPr>
        <w:spacing w:after="80" w:before="140"/>
      </w:pPr>
      <w:r>
        <w:rPr>
          <w:rFonts w:ascii="Calibri" w:cs="Calibri" w:eastAsia="Calibri" w:hAnsi="Calibri"/>
          <w:b/>
          <w:bCs/>
          <w:color w:val="2E5F8A"/>
          <w:sz w:val="22"/>
          <w:szCs w:val="22"/>
        </w:rPr>
        <w:t xml:space="preserve">Infrastructure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React 18 + TypeScript + Vite 6 + Tailwind CSS v4; Radix UI + shadcn/ui component primitives</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Storage abstraction layer — single db interface; localStorage in Phase A; file swap in Phase B requires only db/index.ts</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Full JSON export and import across all data types via db.backup.exportAll() / importAll()</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Tag normalisation — lowercase, trim, deduplicate — applied on save and on import</w:t>
      </w:r>
    </w:p>
    <w:p>
      <w:pPr>
        <w:spacing w:after="80" w:before="140"/>
      </w:pPr>
      <w:r>
        <w:rPr>
          <w:rFonts w:ascii="Calibri" w:cs="Calibri" w:eastAsia="Calibri" w:hAnsi="Calibri"/>
          <w:b/>
          <w:bCs/>
          <w:color w:val="2E5F8A"/>
          <w:sz w:val="22"/>
          <w:szCs w:val="22"/>
        </w:rPr>
        <w:t xml:space="preserve">Write Experience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Three write modes: Quick Capture (mood + single textarea), Guided (five fields, default), Deep Write (full-screen, distraction-free)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Contextual prompt strip — single prompt, priority order: year-ago entry &gt; yesterday continuity &gt; daily rotating prompt</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Closing moment — full-screen overlay, auto-dismisses at 2.8s, fires on new entries only; edits receive a toast</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Deep Write: typewriter scroll, amber caret, word count (fades in on writing), display font headings</w:t>
      </w:r>
    </w:p>
    <w:p>
      <w:pPr>
        <w:spacing w:after="80" w:before="140"/>
      </w:pPr>
      <w:r>
        <w:rPr>
          <w:rFonts w:ascii="Calibri" w:cs="Calibri" w:eastAsia="Calibri" w:hAnsi="Calibri"/>
          <w:b/>
          <w:bCs/>
          <w:color w:val="2E5F8A"/>
          <w:sz w:val="22"/>
          <w:szCs w:val="22"/>
        </w:rPr>
        <w:t xml:space="preserve">Timeline and Heatmap</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Year heatmap — 12 months, daily mood-coloured dots; empty cell is quiet slate, not alarming</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Drill-down: year → month → week → day; breadcrumb navigation; click any level to jump directly</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Reflection dots distinct from mood dots: weekly (violet), monthly (sky), yearly (rose)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Tag filter: click tag in DayView → filter active across all drill levels; unmatched cells fade to 20% opacity</w:t>
      </w:r>
    </w:p>
    <w:p>
      <w:pPr>
        <w:spacing w:after="80" w:before="140"/>
      </w:pPr>
      <w:r>
        <w:rPr>
          <w:rFonts w:ascii="Calibri" w:cs="Calibri" w:eastAsia="Calibri" w:hAnsi="Calibri"/>
          <w:b/>
          <w:bCs/>
          <w:color w:val="2E5F8A"/>
          <w:sz w:val="22"/>
          <w:szCs w:val="22"/>
        </w:rPr>
        <w:t xml:space="preserve">Theme System — NEW in v2.0</w:t>
      </w:r>
    </w:p>
    <w:p>
      <w:pPr>
        <w:spacing w:after="80" w:before="60" w:line="300"/>
        <w:jc w:val="left"/>
      </w:pPr>
      <w:r>
        <w:rPr>
          <w:rFonts w:ascii="Calibri" w:cs="Calibri" w:eastAsia="Calibri" w:hAnsi="Calibri"/>
          <w:b w:val="false"/>
          <w:bCs w:val="false"/>
          <w:i w:val="false"/>
          <w:iCs w:val="false"/>
          <w:color w:val="1A1A2E"/>
          <w:sz w:val="20"/>
          <w:szCs w:val="20"/>
        </w:rPr>
        <w:t xml:space="preserve">Five themes available, selected from a sidebar footer dropdown using feeling-based labels, not technical names. Theme persists across browser sessions via localStorage.</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Theme Label</w:t>
            </w:r>
          </w:p>
        </w:tc>
        <w:tc>
          <w:tcPr>
            <w:tcW w:type="dxa" w:w="3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Visual Character</w:t>
            </w:r>
          </w:p>
        </w:tc>
        <w:tc>
          <w:tcPr>
            <w:tcW w:type="dxa" w:w="43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Design Note</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Morning Light (Default)</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Warm cream — parchment tones</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Requires no class on &lt;html&gt;; zero first-load flash</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Midnight</w:t>
            </w:r>
          </w:p>
        </w:tc>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Deep slate — dark mode</w:t>
            </w:r>
          </w:p>
        </w:tc>
        <w:tc>
          <w:tcPr>
            <w:tcW w:type="dxa" w:w="4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Teal/indigo mood dots; calm dark register</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Forest</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Muted green — earthy</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Earthy mood dots; grounded palette</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Minimal</w:t>
            </w:r>
          </w:p>
        </w:tc>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Greyscale — stripped back</w:t>
            </w:r>
          </w:p>
        </w:tc>
        <w:tc>
          <w:tcPr>
            <w:tcW w:type="dxa" w:w="4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Greyscale mood dots; maximum focus on text</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Warm</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Amber-tinted — golden</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Warmest register; amber accent intensified</w:t>
            </w:r>
          </w:p>
        </w:tc>
      </w:tr>
    </w:tbl>
    <w:p>
      <w:pPr>
        <w:spacing w:after="80" w:before="140"/>
      </w:pPr>
      <w:r>
        <w:rPr>
          <w:rFonts w:ascii="Calibri" w:cs="Calibri" w:eastAsia="Calibri" w:hAnsi="Calibri"/>
          <w:b/>
          <w:bCs/>
          <w:color w:val="2E5F8A"/>
          <w:sz w:val="22"/>
          <w:szCs w:val="22"/>
        </w:rPr>
        <w:t xml:space="preserve">Insights Dashboard — NEW in v2.0</w:t>
      </w:r>
    </w:p>
    <w:p>
      <w:pPr>
        <w:spacing w:after="80" w:before="60" w:line="300"/>
        <w:jc w:val="left"/>
      </w:pPr>
      <w:r>
        <w:rPr>
          <w:rFonts w:ascii="Calibri" w:cs="Calibri" w:eastAsia="Calibri" w:hAnsi="Calibri"/>
          <w:b w:val="false"/>
          <w:bCs w:val="false"/>
          <w:i w:val="false"/>
          <w:iCs w:val="false"/>
          <w:color w:val="1A1A2E"/>
          <w:sz w:val="20"/>
          <w:szCs w:val="20"/>
        </w:rPr>
        <w:t xml:space="preserve">The Insights tab was redesigned from the original Figma export into a Witness-compliant analytics surface. Key decisions made during A6d:</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Streak removed entirely — violates Witness philosophy by creating compliance pressure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Deepest entry stat added — surfaces date and one-line excerpt of highest word-count entry in the whatMatters field</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Language Fingerprint — keyword matching algorithm mapping user text to four dimensions: Cognitive, Somatic, Relational, and Aspirational</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Recurring Words — dynamically filters English stopwords; plots top 5 chips from user's actual vocabulary</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100% local AI heuristics — Subtle Reflections and One Thread to Pull generated from on-device analysis; zero data leaves the device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Time filters — Week, Month, All Time — entire dashboard recomputes instantly using date-fns isWithinInterval</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'Reflect on this' button — wires generated question directly into Guided Write flow via handleWriteAboutQuestion</w:t>
      </w:r>
    </w:p>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6. </w:t>
      </w:r>
      <w:r>
        <w:rPr>
          <w:rFonts w:ascii="Calibri" w:cs="Calibri" w:eastAsia="Calibri" w:hAnsi="Calibri"/>
          <w:b/>
          <w:bCs/>
          <w:color w:val="1F3A5F"/>
          <w:sz w:val="26"/>
          <w:szCs w:val="26"/>
        </w:rPr>
        <w:t xml:space="preserve">SESSIONS PENDING — PHASE A</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2000"/>
        <w:gridCol w:w="1760"/>
      </w:tblGrid>
      <w:tr>
        <w:trPr>
          <w:tblHeader/>
        </w:trPr>
        <w:tc>
          <w:tcPr>
            <w:tcW w:type="dxa" w:w="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Session</w:t>
            </w:r>
          </w:p>
        </w:tc>
        <w:tc>
          <w:tcPr>
            <w:tcW w:type="dxa" w:w="2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Feature Area</w:t>
            </w:r>
          </w:p>
        </w:tc>
        <w:tc>
          <w:tcPr>
            <w:tcW w:type="dxa" w:w="2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V1 Status</w:t>
            </w:r>
          </w:p>
        </w:tc>
        <w:tc>
          <w:tcPr>
            <w:tcW w:type="dxa" w:w="2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Dependency</w:t>
            </w:r>
          </w:p>
        </w:tc>
        <w:tc>
          <w:tcPr>
            <w:tcW w:type="dxa" w:w="17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Status</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A6c</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Full-text search + tag dimension + result view</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 (deferred until 30+ entries)</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A6d ✓</w:t>
            </w:r>
          </w:p>
        </w:tc>
        <w:tc>
          <w:tcPr>
            <w:tcW w:type="dxa" w:w="1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A7a</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Era management redesign; data model audit; colour palette</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A6d ✓</w:t>
            </w:r>
          </w:p>
        </w:tc>
        <w:tc>
          <w:tcPr>
            <w:tcW w:type="dxa" w:w="1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A7b</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Era surfaces: heatmap overlay, all-view labels, era filter</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A7a</w:t>
            </w:r>
          </w:p>
        </w:tc>
        <w:tc>
          <w:tcPr>
            <w:tcW w:type="dxa" w:w="1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A8a</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Inner Compass — Values tab; data model merge; Write surface</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A7b</w:t>
            </w:r>
          </w:p>
        </w:tc>
        <w:tc>
          <w:tcPr>
            <w:tcW w:type="dxa" w:w="1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A8b</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Inner Compass — Questions tab; question thread view</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A8a</w:t>
            </w:r>
          </w:p>
        </w:tc>
        <w:tc>
          <w:tcPr>
            <w:tcW w:type="dxa" w:w="1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A8c</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Inner Compass — question lifecycle (resolution → value)</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A8b</w:t>
            </w:r>
          </w:p>
        </w:tc>
        <w:tc>
          <w:tcPr>
            <w:tcW w:type="dxa" w:w="1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A9a</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Insights: remaining Witness-compliant work; MoodChart integration</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A8a</w:t>
            </w:r>
          </w:p>
        </w:tc>
        <w:tc>
          <w:tcPr>
            <w:tcW w:type="dxa" w:w="1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A9b</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Connected insights — tag/era/question/habit patterns</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POST-V1</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A9a + 60+ entries</w:t>
            </w:r>
          </w:p>
        </w:tc>
        <w:tc>
          <w:tcPr>
            <w:tcW w:type="dxa" w:w="1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B7280"/>
                <w:sz w:val="18"/>
                <w:szCs w:val="18"/>
              </w:rPr>
              <w:t xml:space="preserve">◌ Post-V1</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A10a</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Threads: reading experience redesign</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A8a</w:t>
            </w:r>
          </w:p>
        </w:tc>
        <w:tc>
          <w:tcPr>
            <w:tcW w:type="dxa" w:w="1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A10b</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Threads: intelligent building via tag/question assistance</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POST-V1</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A10a + lived use</w:t>
            </w:r>
          </w:p>
        </w:tc>
        <w:tc>
          <w:tcPr>
            <w:tcW w:type="dxa" w:w="1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B7280"/>
                <w:sz w:val="18"/>
                <w:szCs w:val="18"/>
              </w:rPr>
              <w:t xml:space="preserve">◌ Post-V1</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A11a</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Passive pattern connections — presence-only observations</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A9a + A10a</w:t>
            </w:r>
          </w:p>
        </w:tc>
        <w:tc>
          <w:tcPr>
            <w:tcW w:type="dxa" w:w="1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A11b</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Active connections — north star session surfaces</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POST-V1</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A11a + 60+ entries</w:t>
            </w:r>
          </w:p>
        </w:tc>
        <w:tc>
          <w:tcPr>
            <w:tcW w:type="dxa" w:w="1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B7280"/>
                <w:sz w:val="18"/>
                <w:szCs w:val="18"/>
              </w:rPr>
              <w:t xml:space="preserve">◌ Post-V1</w:t>
            </w:r>
          </w:p>
        </w:tc>
      </w:tr>
      <w:tr>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Living With It</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 building — daily use period (minimum 2 weeks)</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7"/>
                <w:szCs w:val="17"/>
              </w:rPr>
              <w:t xml:space="preserve">IN V1</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7"/>
                <w:szCs w:val="17"/>
              </w:rPr>
              <w:t xml:space="preserve">A11a complete</w:t>
            </w:r>
          </w:p>
        </w:tc>
        <w:tc>
          <w:tcPr>
            <w:tcW w:type="dxa" w:w="1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7. </w:t>
      </w:r>
      <w:r>
        <w:rPr>
          <w:rFonts w:ascii="Calibri" w:cs="Calibri" w:eastAsia="Calibri" w:hAnsi="Calibri"/>
          <w:b/>
          <w:bCs/>
          <w:color w:val="1F3A5F"/>
          <w:sz w:val="26"/>
          <w:szCs w:val="26"/>
        </w:rPr>
        <w:t xml:space="preserve">GAP ANALYSIS</w:t>
      </w:r>
    </w:p>
    <w:p>
      <w:pPr>
        <w:spacing w:after="60" w:before="160"/>
      </w:pPr>
      <w:r>
        <w:rPr>
          <w:rFonts w:ascii="Calibri" w:cs="Calibri" w:eastAsia="Calibri" w:hAnsi="Calibri"/>
          <w:b/>
          <w:bCs/>
          <w:color w:val="1A1A2E"/>
          <w:sz w:val="20"/>
          <w:szCs w:val="20"/>
        </w:rPr>
        <w:t xml:space="preserve">7.1  Root Cause</w:t>
      </w:r>
    </w:p>
    <w:p>
      <w:pPr>
        <w:pBdr>
          <w:left w:val="single" w:color="D97706" w:sz="18" w:space="8"/>
        </w:pBdr>
        <w:spacing w:after="120" w:before="120"/>
        <w:ind w:left="480" w:right="480"/>
      </w:pPr>
      <w:r>
        <w:rPr>
          <w:rFonts w:ascii="Calibri" w:cs="Calibri" w:eastAsia="Calibri" w:hAnsi="Calibri"/>
          <w:i/>
          <w:iCs/>
          <w:color w:val="4A4A6A"/>
          <w:sz w:val="20"/>
          <w:szCs w:val="20"/>
        </w:rPr>
        <w:t xml:space="preserve">The application has strong input mechanisms and a coherent emotional architecture. The missing layer is the one that makes input worth giving: surfaces that return meaning from what was stored.</w:t>
      </w:r>
    </w:p>
    <w:p>
      <w:pPr>
        <w:spacing w:after="80" w:before="60" w:line="300"/>
        <w:jc w:val="left"/>
      </w:pPr>
      <w:r>
        <w:rPr>
          <w:rFonts w:ascii="Calibri" w:cs="Calibri" w:eastAsia="Calibri" w:hAnsi="Calibri"/>
          <w:b w:val="false"/>
          <w:bCs w:val="false"/>
          <w:i w:val="false"/>
          <w:iCs w:val="false"/>
          <w:color w:val="1A1A2E"/>
          <w:sz w:val="20"/>
          <w:szCs w:val="20"/>
        </w:rPr>
        <w:t xml:space="preserve">Brainstorm-1 identified a single root cause underlying all surface-level gaps: the major feature areas — Eras, Inner Compass, Threads, and Patterns — are storage systems without corresponding surfaces. Data enters the application with no meaningful return path.</w:t>
      </w:r>
    </w:p>
    <w:p>
      <w:pPr>
        <w:spacing w:after="60" w:before="160"/>
      </w:pPr>
      <w:r>
        <w:rPr>
          <w:rFonts w:ascii="Calibri" w:cs="Calibri" w:eastAsia="Calibri" w:hAnsi="Calibri"/>
          <w:b/>
          <w:bCs/>
          <w:color w:val="1A1A2E"/>
          <w:sz w:val="20"/>
          <w:szCs w:val="20"/>
        </w:rPr>
        <w:t xml:space="preserve">7.2  Gap Detail</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Feature Area</w:t>
            </w:r>
          </w:p>
        </w:tc>
        <w:tc>
          <w:tcPr>
            <w:tcW w:type="dxa" w:w="2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Current State</w:t>
            </w:r>
          </w:p>
        </w:tc>
        <w:tc>
          <w:tcPr>
            <w:tcW w:type="dxa" w:w="2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Gap</w:t>
            </w:r>
          </w:p>
        </w:tc>
        <w:tc>
          <w:tcPr>
            <w:tcW w:type="dxa" w:w="25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Resolving Session</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Tags</w:t>
            </w:r>
          </w:p>
        </w:tc>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Normalised; autocomplete; heatmap filter built (A6a/A6b)</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Cross-view tag intelligence absent; full search pending</w:t>
            </w:r>
          </w:p>
        </w:tc>
        <w:tc>
          <w:tcPr>
            <w:tcW w:type="dxa" w:w="2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A6c</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Eras</w:t>
            </w:r>
          </w:p>
        </w:tc>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Basic CRUD; unstyled; bypasses db abstraction layer</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 heatmap surface; no design language; data model requires audit</w:t>
            </w:r>
          </w:p>
        </w:tc>
        <w:tc>
          <w:tcPr>
            <w:tcW w:type="dxa" w:w="2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A7a + A7b</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Inner Compass</w:t>
            </w:r>
          </w:p>
        </w:tc>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Anchors and Questions exist as separate, unstyled views</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 question-to-value lifecycle; not surfaced in Write; no unified view</w:t>
            </w:r>
          </w:p>
        </w:tc>
        <w:tc>
          <w:tcPr>
            <w:tcW w:type="dxa" w:w="2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A8a–A8c</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Insights</w:t>
            </w:r>
          </w:p>
        </w:tc>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Rebuilt in A6d — Witness-compliant; Language Fingerprint; local AI</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MoodChart integration and remaining connected patterns pending (A9a)</w:t>
            </w:r>
          </w:p>
        </w:tc>
        <w:tc>
          <w:tcPr>
            <w:tcW w:type="dxa" w:w="2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A9a</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Threads</w:t>
            </w:r>
          </w:p>
        </w:tc>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Basic list; no design language</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 reading experience; no intelligent assembly</w:t>
            </w:r>
          </w:p>
        </w:tc>
        <w:tc>
          <w:tcPr>
            <w:tcW w:type="dxa" w:w="2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A10a–A10b</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Patterns</w:t>
            </w:r>
          </w:p>
        </w:tc>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Not built</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Third philosophical layer (Patterns Surface) entirely absent</w:t>
            </w:r>
          </w:p>
        </w:tc>
        <w:tc>
          <w:tcPr>
            <w:tcW w:type="dxa" w:w="2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A11a</w:t>
            </w:r>
          </w:p>
        </w:tc>
      </w:tr>
    </w:tbl>
    <w:p>
      <w:pPr>
        <w:spacing w:after="60" w:before="160"/>
      </w:pPr>
      <w:r>
        <w:rPr>
          <w:rFonts w:ascii="Calibri" w:cs="Calibri" w:eastAsia="Calibri" w:hAnsi="Calibri"/>
          <w:b/>
          <w:bCs/>
          <w:color w:val="1A1A2E"/>
          <w:sz w:val="20"/>
          <w:szCs w:val="20"/>
        </w:rPr>
        <w:t xml:space="preserve">7.3  The Three Underlying Systems</w:t>
      </w:r>
    </w:p>
    <w:p>
      <w:pPr>
        <w:spacing w:after="80" w:before="60" w:line="300"/>
        <w:jc w:val="left"/>
      </w:pPr>
      <w:r>
        <w:rPr>
          <w:rFonts w:ascii="Calibri" w:cs="Calibri" w:eastAsia="Calibri" w:hAnsi="Calibri"/>
          <w:b w:val="false"/>
          <w:bCs w:val="false"/>
          <w:i w:val="false"/>
          <w:iCs w:val="false"/>
          <w:color w:val="1A1A2E"/>
          <w:sz w:val="20"/>
          <w:szCs w:val="20"/>
        </w:rPr>
        <w:t xml:space="preserve">The six gaps share infrastructure. Three underlying systems must be built in sequence: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System 1 — Tagging: tags are the connective tissue across eras, questions, insights, and pattern surfaces. Resolved by A6a and A6b.</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System 2 — Context Layer: eras and Inner Compass provide the interpretive frame that makes patterns meaningful. Must be built before the Surfaces layer.</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System 3 — Surfaces Layer: Insights, Threads, and Connections return meaning from stored data. Cannot be built well without Systems 1 and 2.</w:t>
      </w:r>
    </w:p>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8. </w:t>
      </w:r>
      <w:r>
        <w:rPr>
          <w:rFonts w:ascii="Calibri" w:cs="Calibri" w:eastAsia="Calibri" w:hAnsi="Calibri"/>
          <w:b/>
          <w:bCs/>
          <w:color w:val="1F3A5F"/>
          <w:sz w:val="26"/>
          <w:szCs w:val="26"/>
        </w:rPr>
        <w:t xml:space="preserve">SWOT ANALYSIS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STRENGTHS</w:t>
            </w:r>
          </w:p>
        </w:tc>
        <w:tc>
          <w:tcPr>
            <w:tcW w:type="dxa" w:w="468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WEAKNESSES</w:t>
            </w:r>
          </w:p>
        </w:tc>
      </w:tr>
      <w:tr>
        <w:tc>
          <w:tcPr>
            <w:tcW w:type="dxa" w:w="4680"/>
            <w:tcBorders>
              <w:top w:val="single" w:color="CBD5E1" w:sz="4"/>
              <w:left w:val="single" w:color="CBD5E1" w:sz="4"/>
              <w:bottom w:val="single" w:color="CBD5E1" w:sz="4"/>
              <w:right w:val="single" w:color="CBD5E1" w:sz="4"/>
            </w:tcBorders>
            <w:shd w:fill="E8F4E8" w:val="clear"/>
            <w:tcMar>
              <w:top w:type="dxa" w:w="100"/>
              <w:left w:type="dxa" w:w="140"/>
              <w:bottom w:type="dxa" w:w="100"/>
              <w:right w:type="dxa" w:w="140"/>
            </w:tcMar>
          </w:tcPr>
          <w:p>
            <w:pPr>
              <w:spacing w:after="60" w:before="0"/>
            </w:pPr>
            <w:r>
              <w:rPr>
                <w:rFonts w:ascii="Calibri" w:cs="Calibri" w:eastAsia="Calibri" w:hAnsi="Calibri"/>
                <w:color w:val="1A1A2E"/>
                <w:sz w:val="18"/>
                <w:szCs w:val="18"/>
              </w:rPr>
              <w:t xml:space="preserve">• Privacy-first architecture is a genuine market differentiator. Local-first is rare among consumer journalling apps.</w:t>
            </w:r>
          </w:p>
          <w:p>
            <w:pPr>
              <w:spacing w:after="60" w:before="40"/>
            </w:pPr>
            <w:r>
              <w:rPr>
                <w:rFonts w:ascii="Calibri" w:cs="Calibri" w:eastAsia="Calibri" w:hAnsi="Calibri"/>
                <w:color w:val="1A1A2E"/>
                <w:sz w:val="18"/>
                <w:szCs w:val="18"/>
              </w:rPr>
              <w:t xml:space="preserve">• Witness philosophy gives every product decision a clear test — ambiguity is reduced; feature creep has a guard.</w:t>
            </w:r>
          </w:p>
          <w:p>
            <w:pPr>
              <w:spacing w:after="60" w:before="40"/>
            </w:pPr>
            <w:r>
              <w:rPr>
                <w:rFonts w:ascii="Calibri" w:cs="Calibri" w:eastAsia="Calibri" w:hAnsi="Calibri"/>
                <w:color w:val="1A1A2E"/>
                <w:sz w:val="18"/>
                <w:szCs w:val="18"/>
              </w:rPr>
              <w:t xml:space="preserve">• Live deployed product at a public URL — proof of delivery, not a prototype.</w:t>
            </w:r>
          </w:p>
          <w:p>
            <w:pPr>
              <w:spacing w:after="60" w:before="40"/>
            </w:pPr>
            <w:r>
              <w:rPr>
                <w:rFonts w:ascii="Calibri" w:cs="Calibri" w:eastAsia="Calibri" w:hAnsi="Calibri"/>
                <w:color w:val="1A1A2E"/>
                <w:sz w:val="18"/>
                <w:szCs w:val="18"/>
              </w:rPr>
              <w:t xml:space="preserve">• Insights Dashboard rebuilt as 100% local AI — no privacy compromise for analytics.</w:t>
            </w:r>
          </w:p>
          <w:p>
            <w:pPr>
              <w:spacing w:after="60" w:before="40"/>
            </w:pPr>
            <w:r>
              <w:rPr>
                <w:rFonts w:ascii="Calibri" w:cs="Calibri" w:eastAsia="Calibri" w:hAnsi="Calibri"/>
                <w:color w:val="1A1A2E"/>
                <w:sz w:val="18"/>
                <w:szCs w:val="18"/>
              </w:rPr>
              <w:t xml:space="preserve">• Storage abstraction layer makes Phase A-to-B a single-file swap.</w:t>
            </w:r>
          </w:p>
          <w:p>
            <w:pPr>
              <w:spacing w:after="0" w:before="40"/>
            </w:pPr>
            <w:r>
              <w:rPr>
                <w:rFonts w:ascii="Calibri" w:cs="Calibri" w:eastAsia="Calibri" w:hAnsi="Calibri"/>
                <w:color w:val="1A1A2E"/>
                <w:sz w:val="18"/>
                <w:szCs w:val="18"/>
              </w:rPr>
              <w:t xml:space="preserve">• Every decision is documented and traceable through BUILDLOG.md.</w:t>
            </w:r>
          </w:p>
        </w:tc>
        <w:tc>
          <w:tcPr>
            <w:tcW w:type="dxa" w:w="4680"/>
            <w:tcBorders>
              <w:top w:val="single" w:color="CBD5E1" w:sz="4"/>
              <w:left w:val="single" w:color="CBD5E1" w:sz="4"/>
              <w:bottom w:val="single" w:color="CBD5E1" w:sz="4"/>
              <w:right w:val="single" w:color="CBD5E1" w:sz="4"/>
            </w:tcBorders>
            <w:shd w:fill="FFF3E0" w:val="clear"/>
            <w:tcMar>
              <w:top w:type="dxa" w:w="100"/>
              <w:left w:type="dxa" w:w="140"/>
              <w:bottom w:type="dxa" w:w="100"/>
              <w:right w:type="dxa" w:w="140"/>
            </w:tcMar>
          </w:tcPr>
          <w:p>
            <w:pPr>
              <w:spacing w:after="60" w:before="0"/>
            </w:pPr>
            <w:r>
              <w:rPr>
                <w:rFonts w:ascii="Calibri" w:cs="Calibri" w:eastAsia="Calibri" w:hAnsi="Calibri"/>
                <w:color w:val="1A1A2E"/>
                <w:sz w:val="18"/>
                <w:szCs w:val="18"/>
              </w:rPr>
              <w:t xml:space="preserve">• Single-user development — optimised for one workflow. Broader fit requires early adopter validation.</w:t>
            </w:r>
          </w:p>
          <w:p>
            <w:pPr>
              <w:spacing w:after="60" w:before="40"/>
            </w:pPr>
            <w:r>
              <w:rPr>
                <w:rFonts w:ascii="Calibri" w:cs="Calibri" w:eastAsia="Calibri" w:hAnsi="Calibri"/>
                <w:color w:val="1A1A2E"/>
                <w:sz w:val="18"/>
                <w:szCs w:val="18"/>
              </w:rPr>
              <w:t xml:space="preserve">• Surfaces layer is incomplete — Eras, Threads, and Patterns not yet built.</w:t>
            </w:r>
          </w:p>
          <w:p>
            <w:pPr>
              <w:spacing w:after="60" w:before="40"/>
            </w:pPr>
            <w:r>
              <w:rPr>
                <w:rFonts w:ascii="Calibri" w:cs="Calibri" w:eastAsia="Calibri" w:hAnsi="Calibri"/>
                <w:color w:val="1A1A2E"/>
                <w:sz w:val="18"/>
                <w:szCs w:val="18"/>
              </w:rPr>
              <w:t xml:space="preserve">• localStorage ceiling at 5–10MB. Not a current problem; becomes critical before Phase B completes.</w:t>
            </w:r>
          </w:p>
          <w:p>
            <w:pPr>
              <w:spacing w:after="0" w:before="40"/>
            </w:pPr>
            <w:r>
              <w:rPr>
                <w:rFonts w:ascii="Calibri" w:cs="Calibri" w:eastAsia="Calibri" w:hAnsi="Calibri"/>
                <w:color w:val="1A1A2E"/>
                <w:sz w:val="18"/>
                <w:szCs w:val="18"/>
              </w:rPr>
              <w:t xml:space="preserve">• Search is absent. Classified as critical at Day 365, existential at Day 10,000. In V1 but deferred.</w:t>
            </w:r>
          </w:p>
        </w:tc>
      </w:tr>
      <w:tr>
        <w:trPr>
          <w:tblHeader/>
        </w:trPr>
        <w:tc>
          <w:tcPr>
            <w:tcW w:type="dxa" w:w="468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OPPORTUNITIES</w:t>
            </w:r>
          </w:p>
        </w:tc>
        <w:tc>
          <w:tcPr>
            <w:tcW w:type="dxa" w:w="468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THREATS</w:t>
            </w:r>
          </w:p>
        </w:tc>
      </w:tr>
      <w:tr>
        <w:tc>
          <w:tcPr>
            <w:tcW w:type="dxa" w:w="4680"/>
            <w:tcBorders>
              <w:top w:val="single" w:color="CBD5E1" w:sz="4"/>
              <w:left w:val="single" w:color="CBD5E1" w:sz="4"/>
              <w:bottom w:val="single" w:color="CBD5E1" w:sz="4"/>
              <w:right w:val="single" w:color="CBD5E1" w:sz="4"/>
            </w:tcBorders>
            <w:shd w:fill="E3F2FD" w:val="clear"/>
            <w:tcMar>
              <w:top w:type="dxa" w:w="100"/>
              <w:left w:type="dxa" w:w="140"/>
              <w:bottom w:type="dxa" w:w="100"/>
              <w:right w:type="dxa" w:w="140"/>
            </w:tcMar>
          </w:tcPr>
          <w:p>
            <w:pPr>
              <w:spacing w:after="60" w:before="0"/>
            </w:pPr>
            <w:r>
              <w:rPr>
                <w:rFonts w:ascii="Calibri" w:cs="Calibri" w:eastAsia="Calibri" w:hAnsi="Calibri"/>
                <w:color w:val="1A1A2E"/>
                <w:sz w:val="18"/>
                <w:szCs w:val="18"/>
              </w:rPr>
              <w:t xml:space="preserve">• User privacy awareness is increasing. Local-first is becoming a differentiating feature, not a technical trade-off.</w:t>
            </w:r>
          </w:p>
          <w:p>
            <w:pPr>
              <w:spacing w:after="60" w:before="40"/>
            </w:pPr>
            <w:r>
              <w:rPr>
                <w:rFonts w:ascii="Calibri" w:cs="Calibri" w:eastAsia="Calibri" w:hAnsi="Calibri"/>
                <w:color w:val="1A1A2E"/>
                <w:sz w:val="18"/>
                <w:szCs w:val="18"/>
              </w:rPr>
              <w:t xml:space="preserve">• The Obsidian model (free local + optional paid sync) has demonstrated product-market fit in the adjacent note-taking space.</w:t>
            </w:r>
          </w:p>
          <w:p>
            <w:pPr>
              <w:spacing w:after="0" w:before="40"/>
            </w:pPr>
            <w:r>
              <w:rPr>
                <w:rFonts w:ascii="Calibri" w:cs="Calibri" w:eastAsia="Calibri" w:hAnsi="Calibri"/>
                <w:color w:val="1A1A2E"/>
                <w:sz w:val="18"/>
                <w:szCs w:val="18"/>
              </w:rPr>
              <w:t xml:space="preserve">• Privacy-conscious writers are an underserved, high-loyalty segment with demonstrated willingness to pay for privacy-respecting tools.</w:t>
            </w:r>
          </w:p>
        </w:tc>
        <w:tc>
          <w:tcPr>
            <w:tcW w:type="dxa" w:w="4680"/>
            <w:tcBorders>
              <w:top w:val="single" w:color="CBD5E1" w:sz="4"/>
              <w:left w:val="single" w:color="CBD5E1" w:sz="4"/>
              <w:bottom w:val="single" w:color="CBD5E1" w:sz="4"/>
              <w:right w:val="single" w:color="CBD5E1" w:sz="4"/>
            </w:tcBorders>
            <w:shd w:fill="FDE8E8" w:val="clear"/>
            <w:tcMar>
              <w:top w:type="dxa" w:w="100"/>
              <w:left w:type="dxa" w:w="140"/>
              <w:bottom w:type="dxa" w:w="100"/>
              <w:right w:type="dxa" w:w="140"/>
            </w:tcMar>
          </w:tcPr>
          <w:p>
            <w:pPr>
              <w:spacing w:after="60" w:before="0"/>
            </w:pPr>
            <w:r>
              <w:rPr>
                <w:rFonts w:ascii="Calibri" w:cs="Calibri" w:eastAsia="Calibri" w:hAnsi="Calibri"/>
                <w:color w:val="1A1A2E"/>
                <w:sz w:val="18"/>
                <w:szCs w:val="18"/>
              </w:rPr>
              <w:t xml:space="preserve">• Day One and Notion have large engineering teams and established user bases.</w:t>
            </w:r>
          </w:p>
          <w:p>
            <w:pPr>
              <w:spacing w:after="60" w:before="40"/>
            </w:pPr>
            <w:r>
              <w:rPr>
                <w:rFonts w:ascii="Calibri" w:cs="Calibri" w:eastAsia="Calibri" w:hAnsi="Calibri"/>
                <w:color w:val="1A1A2E"/>
                <w:sz w:val="18"/>
                <w:szCs w:val="18"/>
              </w:rPr>
              <w:t xml:space="preserve">• Electron compatibility introduces Phase B risk. electron-builder OS versioning is a known failure point; GitHub Actions CI mitigates.</w:t>
            </w:r>
          </w:p>
          <w:p>
            <w:pPr>
              <w:spacing w:after="0" w:before="40"/>
            </w:pPr>
            <w:r>
              <w:rPr>
                <w:rFonts w:ascii="Calibri" w:cs="Calibri" w:eastAsia="Calibri" w:hAnsi="Calibri"/>
                <w:color w:val="1A1A2E"/>
                <w:sz w:val="18"/>
                <w:szCs w:val="18"/>
              </w:rPr>
              <w:t xml:space="preserve">• A9b, A10b, and A11b carry the highest scope creep risk. Hard constraints are defined; Witness test is the guard.</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9. </w:t>
      </w:r>
      <w:r>
        <w:rPr>
          <w:rFonts w:ascii="Calibri" w:cs="Calibri" w:eastAsia="Calibri" w:hAnsi="Calibri"/>
          <w:b/>
          <w:bCs/>
          <w:color w:val="1F3A5F"/>
          <w:sz w:val="26"/>
          <w:szCs w:val="26"/>
        </w:rPr>
        <w:t xml:space="preserve">FUNCTIONAL REQUIREMENTS — SUMMARY</w:t>
      </w:r>
    </w:p>
    <w:p>
      <w:pPr>
        <w:spacing w:after="60" w:before="160"/>
      </w:pPr>
      <w:r>
        <w:rPr>
          <w:rFonts w:ascii="Calibri" w:cs="Calibri" w:eastAsia="Calibri" w:hAnsi="Calibri"/>
          <w:b/>
          <w:bCs/>
          <w:color w:val="1A1A2E"/>
          <w:sz w:val="20"/>
          <w:szCs w:val="20"/>
        </w:rPr>
        <w:t xml:space="preserve">9.1  Write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Three write modes are required: Quick Capture, Guided, and Deep Write. Each mode has distinct fields and behaviour.</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The closing moment fires on new entry saves only. Edits produce a toast notification. The distinction is intentional and must not be collapsed.</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Tags are normalised on every save and every import: lowercase, whitespace trimmed, duplicates removed.</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The contextual prompt strip displays one prompt at a time, in strict priority: year-ago entry (±3 days) &gt; yesterday continuity &gt; daily rotating prompt.</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The unsaved changes guard fires on Cancel when the form has been modified. No silent discard.</w:t>
      </w:r>
    </w:p>
    <w:p>
      <w:pPr>
        <w:spacing w:after="60" w:before="160"/>
      </w:pPr>
      <w:r>
        <w:rPr>
          <w:rFonts w:ascii="Calibri" w:cs="Calibri" w:eastAsia="Calibri" w:hAnsi="Calibri"/>
          <w:b/>
          <w:bCs/>
          <w:color w:val="1A1A2E"/>
          <w:sz w:val="20"/>
          <w:szCs w:val="20"/>
        </w:rPr>
        <w:t xml:space="preserve">9.2  Timeline and Heatmap</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Heatmap colour encodes mood, not activity. An empty cell is an unknown day — not a failure day. Empty cells must never use red or alarm-register colours.</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Drill-down navigation operates at four levels: year, month, week, day. Breadcrumb navigation must be clickable at every level.</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Tag filter state persists as the user drills from year to day. Unmatched cells fade; matched cells remain at full opacity.</w:t>
      </w:r>
    </w:p>
    <w:p>
      <w:pPr>
        <w:spacing w:after="60" w:before="160"/>
      </w:pPr>
      <w:r>
        <w:rPr>
          <w:rFonts w:ascii="Calibri" w:cs="Calibri" w:eastAsia="Calibri" w:hAnsi="Calibri"/>
          <w:b/>
          <w:bCs/>
          <w:color w:val="1A1A2E"/>
          <w:sz w:val="20"/>
          <w:szCs w:val="20"/>
        </w:rPr>
        <w:t xml:space="preserve">9.3  Insights Dashboard</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Insights renders meaningful content from Entry 1 — no empty-state failure on first open.</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Language Fingerprint categorises user writing across four dimensions: Cognitive, Somatic, Relational, and Aspirational.</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Local AI heuristics generate Subtle Reflections and One Thread to Pull from on-device analysis only. Zero external API calls.</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Time filter (Week / Month / All Time) recomputes the entire dashboard instantly. No stale state.</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Streak counter is prohibited in Insights in perpetuity — not as a hidden metric, not as an optional display.</w:t>
      </w:r>
    </w:p>
    <w:p>
      <w:pPr>
        <w:spacing w:after="60" w:before="160"/>
      </w:pPr>
      <w:r>
        <w:rPr>
          <w:rFonts w:ascii="Calibri" w:cs="Calibri" w:eastAsia="Calibri" w:hAnsi="Calibri"/>
          <w:b/>
          <w:bCs/>
          <w:color w:val="1A1A2E"/>
          <w:sz w:val="20"/>
          <w:szCs w:val="20"/>
        </w:rPr>
        <w:t xml:space="preserve">9.4  Data Integrity</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All data types must be included in exportAll(). Import must restore all data without silent data loss or type omission.</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Deleting an era un-tags all associated entries. Entries are never deleted as a consequence of era deletion.</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The Phase A-to-B storage swap is confined to db/index.ts. No component outside this file is aware of the storage mechanism.</w:t>
      </w:r>
    </w:p>
    <w:p>
      <w:pPr>
        <w:spacing w:after="60" w:before="160"/>
      </w:pPr>
      <w:r>
        <w:rPr>
          <w:rFonts w:ascii="Calibri" w:cs="Calibri" w:eastAsia="Calibri" w:hAnsi="Calibri"/>
          <w:b/>
          <w:bCs/>
          <w:color w:val="1A1A2E"/>
          <w:sz w:val="20"/>
          <w:szCs w:val="20"/>
        </w:rPr>
        <w:t xml:space="preserve">9.5  Philosophy-Enforced Requirements</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No streak counter of any kind — not as an optional feature, not as a hidden metric.</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No AI reading, summarising, or processing of entry content — in any phase of the product.</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Zero telemetry, zero crash reporting, zero usage analytics. No data leaves the device without explicit user action.</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Insights describe co-occurrence only. Causal or prescriptive language ('when you do X you feel better') is prohibited.</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Observations describe presence only. Absence-pointing observations ('you have not written about X') are prohibited.</w:t>
      </w:r>
    </w:p>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10. </w:t>
      </w:r>
      <w:r>
        <w:rPr>
          <w:rFonts w:ascii="Calibri" w:cs="Calibri" w:eastAsia="Calibri" w:hAnsi="Calibri"/>
          <w:b/>
          <w:bCs/>
          <w:color w:val="1F3A5F"/>
          <w:sz w:val="26"/>
          <w:szCs w:val="26"/>
        </w:rPr>
        <w:t xml:space="preserve">NON-FUNCTIONAL REQUIREMENTS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Requirement</w:t>
            </w:r>
          </w:p>
        </w:tc>
        <w:tc>
          <w:tcPr>
            <w:tcW w:type="dxa" w:w="53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Specification</w:t>
            </w:r>
          </w:p>
        </w:tc>
        <w:tc>
          <w:tcPr>
            <w:tcW w:type="dxa" w:w="1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Phase</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Privacy</w:t>
            </w:r>
          </w:p>
        </w:tc>
        <w:tc>
          <w:tcPr>
            <w:tcW w:type="dxa" w:w="5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Zero telemetry. Zero external network calls. No data leaves the device without explicit user action.</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A + B</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Offline Operation</w:t>
            </w:r>
          </w:p>
        </w:tc>
        <w:tc>
          <w:tcPr>
            <w:tcW w:type="dxa" w:w="5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All features operate without an internet connection. No capability degrades offline.</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A + B</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Performance — Phase A</w:t>
            </w:r>
          </w:p>
        </w:tc>
        <w:tc>
          <w:tcPr>
            <w:tcW w:type="dxa" w:w="5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Application loads under 2 seconds. Timeline renders up to 500 entries without perceptible lag.</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A</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Performance — Phase B</w:t>
            </w:r>
          </w:p>
        </w:tc>
        <w:tc>
          <w:tcPr>
            <w:tcW w:type="dxa" w:w="5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Application handles 10,000+ entries. Search returns results in under 500ms.</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B</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Storage — Phase A</w:t>
            </w:r>
          </w:p>
        </w:tc>
        <w:tc>
          <w:tcPr>
            <w:tcW w:type="dxa" w:w="5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localStorage. User warned before 5MB threshold. Full export available at all times.</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A</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Storage — Phase B</w:t>
            </w:r>
          </w:p>
        </w:tc>
        <w:tc>
          <w:tcPr>
            <w:tcW w:type="dxa" w:w="5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electron-store encrypted local file. Data persists independently of browser state.</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B</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Cross-Platform</w:t>
            </w:r>
          </w:p>
        </w:tc>
        <w:tc>
          <w:tcPr>
            <w:tcW w:type="dxa" w:w="5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Phase B builds produce: AppImage (Linux), .exe (Windows), .dmg (macOS). CI via GitHub Actions.</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B</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Export Format</w:t>
            </w:r>
          </w:p>
        </w:tc>
        <w:tc>
          <w:tcPr>
            <w:tcW w:type="dxa" w:w="5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Human-readable JSON at all times. No proprietary format. File readable without this application.</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A + B</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Error Resilience</w:t>
            </w:r>
          </w:p>
        </w:tc>
        <w:tc>
          <w:tcPr>
            <w:tcW w:type="dxa" w:w="5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React error boundary around all primary content areas. No blank white screen on runtime error.</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A</w:t>
            </w:r>
          </w:p>
        </w:tc>
      </w:tr>
      <w:tr>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Accessibility</w:t>
            </w:r>
          </w:p>
        </w:tc>
        <w:tc>
          <w:tcPr>
            <w:tcW w:type="dxa" w:w="5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WCAG AA contrast on all text. Core flows keyboard-navigable. Motion reducible.</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A + B</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11. </w:t>
      </w:r>
      <w:r>
        <w:rPr>
          <w:rFonts w:ascii="Calibri" w:cs="Calibri" w:eastAsia="Calibri" w:hAnsi="Calibri"/>
          <w:b/>
          <w:bCs/>
          <w:color w:val="1F3A5F"/>
          <w:sz w:val="26"/>
          <w:szCs w:val="26"/>
        </w:rPr>
        <w:t xml:space="preserve">RISK REGISTER</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rPr>
          <w:tblHeader/>
        </w:trPr>
        <w:tc>
          <w:tcPr>
            <w:tcW w:type="dxa" w:w="2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Risk</w:t>
            </w:r>
          </w:p>
        </w:tc>
        <w:tc>
          <w:tcPr>
            <w:tcW w:type="dxa" w:w="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Prob.</w:t>
            </w:r>
          </w:p>
        </w:tc>
        <w:tc>
          <w:tcPr>
            <w:tcW w:type="dxa" w:w="9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Impact</w:t>
            </w:r>
          </w:p>
        </w:tc>
        <w:tc>
          <w:tcPr>
            <w:tcW w:type="dxa" w:w="48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Mitigation</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localStorage quota overflow before Phase B</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Med</w:t>
            </w:r>
          </w:p>
        </w:tc>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High</w:t>
            </w:r>
          </w:p>
        </w:tc>
        <w:tc>
          <w:tcPr>
            <w:tcW w:type="dxa" w:w="48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Add quota warning before 5MB threshold. Prominent export reminder. Phase B resolves permanently.</w:t>
            </w:r>
          </w:p>
        </w:tc>
      </w:tr>
      <w:tr>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Electron Phase B introduces unexpected complexity</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Med</w:t>
            </w:r>
          </w:p>
        </w:tc>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Med</w:t>
            </w:r>
          </w:p>
        </w:tc>
        <w:tc>
          <w:tcPr>
            <w:tcW w:type="dxa" w:w="48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electron-builder proven for React/Vite stacks. GitHub Actions catches platform failures on every push.</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Scope creep in A9b, A10b, or A11b</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High</w:t>
            </w:r>
          </w:p>
        </w:tc>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Med</w:t>
            </w:r>
          </w:p>
        </w:tc>
        <w:tc>
          <w:tcPr>
            <w:tcW w:type="dxa" w:w="48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Hard constraints defined in V1-Scope.md. Witness test is the enforcement gate.</w:t>
            </w:r>
          </w:p>
        </w:tc>
      </w:tr>
      <w:tr>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Design decision made without required brainstorm</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Low</w:t>
            </w:r>
          </w:p>
        </w:tc>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High</w:t>
            </w:r>
          </w:p>
        </w:tc>
        <w:tc>
          <w:tcPr>
            <w:tcW w:type="dxa" w:w="48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Brainstorm-first rule documented and enforced: any session with design decisions requires BUILDLOG brainstorm entry first.</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Search built before sufficient data exists</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Low</w:t>
            </w:r>
          </w:p>
        </w:tc>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Med</w:t>
            </w:r>
          </w:p>
        </w:tc>
        <w:tc>
          <w:tcPr>
            <w:tcW w:type="dxa" w:w="48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A6c explicitly deferred until 30+ real entries exist. Locked in DECISIONS-LOG.md.</w:t>
            </w:r>
          </w:p>
        </w:tc>
      </w:tr>
      <w:tr>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Era colour conflicts with existing mood colour system</w:t>
            </w:r>
          </w:p>
        </w:tc>
        <w:tc>
          <w:tcPr>
            <w:tcW w:type="dxa" w:w="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Med</w:t>
            </w:r>
          </w:p>
        </w:tc>
        <w:tc>
          <w:tcPr>
            <w:tcW w:type="dxa" w:w="9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Med</w:t>
            </w:r>
          </w:p>
        </w:tc>
        <w:tc>
          <w:tcPr>
            <w:tcW w:type="dxa" w:w="48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Amber, emerald, slate, blue, stone reserved for mood. Era palette must be resolved in A7a brainstorm before build.</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Product optimised for single user does not generalise</w:t>
            </w:r>
          </w:p>
        </w:tc>
        <w:tc>
          <w:tcPr>
            <w:tcW w:type="dxa" w:w="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Med</w:t>
            </w:r>
          </w:p>
        </w:tc>
        <w:tc>
          <w:tcPr>
            <w:tcW w:type="dxa" w:w="9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High</w:t>
            </w:r>
          </w:p>
        </w:tc>
        <w:tc>
          <w:tcPr>
            <w:tcW w:type="dxa" w:w="48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Living With It period before V1. Early-Adopter-Brief.md produced after 30+ entries.</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12. </w:t>
      </w:r>
      <w:r>
        <w:rPr>
          <w:rFonts w:ascii="Calibri" w:cs="Calibri" w:eastAsia="Calibri" w:hAnsi="Calibri"/>
          <w:b/>
          <w:bCs/>
          <w:color w:val="1F3A5F"/>
          <w:sz w:val="26"/>
          <w:szCs w:val="26"/>
        </w:rPr>
        <w:t xml:space="preserve">V1 SCOPE</w:t>
      </w:r>
    </w:p>
    <w:p>
      <w:pPr>
        <w:spacing w:after="60" w:before="160"/>
      </w:pPr>
      <w:r>
        <w:rPr>
          <w:rFonts w:ascii="Calibri" w:cs="Calibri" w:eastAsia="Calibri" w:hAnsi="Calibri"/>
          <w:b/>
          <w:bCs/>
          <w:color w:val="1A1A2E"/>
          <w:sz w:val="20"/>
          <w:szCs w:val="20"/>
        </w:rPr>
        <w:t xml:space="preserve">12.1  V1 Complete Criteria</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All IN-V1 sessions complete: A6d through A11a (A11b is POST-V1)</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Living With It period complete — minimum two weeks of daily use with no active development</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No CRITICAL or MAJOR open issues in BUGS-AND-DEBT.md</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All V1 documents complete: BA-Document, PRD, FRD, SRS, V1-Scope, User-Journey, Witness-Philosophy</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Early-Adopter-Brief.md written — requires 30+ real entries before authoring</w:t>
      </w:r>
    </w:p>
    <w:p>
      <w:pPr>
        <w:pStyle w:val="ListParagraph"/>
        <w:numPr>
          <w:ilvl w:val="0"/>
          <w:numId w:val="2"/>
        </w:numPr>
        <w:spacing w:after="50" w:before="50" w:line="280"/>
        <w:ind w:left="360" w:hanging="180"/>
      </w:pPr>
      <w:r>
        <w:rPr>
          <w:rFonts w:ascii="Calibri" w:cs="Calibri" w:eastAsia="Calibri" w:hAnsi="Calibri"/>
          <w:b w:val="false"/>
          <w:bCs w:val="false"/>
          <w:i w:val="false"/>
          <w:iCs w:val="false"/>
          <w:color w:val="1A1A2E"/>
          <w:sz w:val="20"/>
          <w:szCs w:val="20"/>
        </w:rPr>
        <w:t xml:space="preserve">Every view uses consistent design language — no view reads as a stub or draft</w:t>
      </w:r>
    </w:p>
    <w:p>
      <w:pPr>
        <w:spacing w:after="60" w:before="160"/>
      </w:pPr>
      <w:r>
        <w:rPr>
          <w:rFonts w:ascii="Calibri" w:cs="Calibri" w:eastAsia="Calibri" w:hAnsi="Calibri"/>
          <w:b/>
          <w:bCs/>
          <w:color w:val="1A1A2E"/>
          <w:sz w:val="20"/>
          <w:szCs w:val="20"/>
        </w:rPr>
        <w:t xml:space="preserve">12.2  Scope Decisions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Session / Area</w:t>
            </w:r>
          </w:p>
        </w:tc>
        <w:tc>
          <w:tcPr>
            <w:tcW w:type="dxa" w:w="16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Verdict</w:t>
            </w:r>
          </w:p>
        </w:tc>
        <w:tc>
          <w:tcPr>
            <w:tcW w:type="dxa" w:w="57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Rationale</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A1–A6d (complete)</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IN V1</w:t>
            </w:r>
          </w:p>
        </w:tc>
        <w:tc>
          <w:tcPr>
            <w:tcW w:type="dxa" w:w="5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Foundation and core experience — shipped</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A6c — Search</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IN V1</w:t>
            </w:r>
          </w:p>
        </w:tc>
        <w:tc>
          <w:tcPr>
            <w:tcW w:type="dxa" w:w="5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Critical by Day 365. Deferred until 30+ entries to build against real search behaviour.</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A7a–A7b — Eras</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IN V1</w:t>
            </w:r>
          </w:p>
        </w:tc>
        <w:tc>
          <w:tcPr>
            <w:tcW w:type="dxa" w:w="5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Core data type. V1 with a stub era system is a broken promise to the user journey.</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A8a–A8c — Inner Compass</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IN V1</w:t>
            </w:r>
          </w:p>
        </w:tc>
        <w:tc>
          <w:tcPr>
            <w:tcW w:type="dxa" w:w="5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Values and questions lifecycle is the philosophical core of the reflection system.</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A9a — Insights (remaining)</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IN V1</w:t>
            </w:r>
          </w:p>
        </w:tc>
        <w:tc>
          <w:tcPr>
            <w:tcW w:type="dxa" w:w="5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Remaining MoodChart integration. A6d completed the Witness-compliant foundation.</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A9b — Connected Insights</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6B7280"/>
                <w:sz w:val="18"/>
                <w:szCs w:val="18"/>
              </w:rPr>
              <w:t xml:space="preserve">POST-V1</w:t>
            </w:r>
          </w:p>
        </w:tc>
        <w:tc>
          <w:tcPr>
            <w:tcW w:type="dxa" w:w="5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Highest scope creep risk. Build after Living With It reveals genuinely useful patterns.</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A10a — Threads redesign</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IN V1</w:t>
            </w:r>
          </w:p>
        </w:tc>
        <w:tc>
          <w:tcPr>
            <w:tcW w:type="dxa" w:w="5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Currently unstyled. V1 cannot ship a visually unfinished view.</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A10b — Intelligent Threads</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6B7280"/>
                <w:sz w:val="18"/>
                <w:szCs w:val="18"/>
              </w:rPr>
              <w:t xml:space="preserve">POST-V1</w:t>
            </w:r>
          </w:p>
        </w:tc>
        <w:tc>
          <w:tcPr>
            <w:tcW w:type="dxa" w:w="5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Manual thread building is functional for V1. Intelligence requires lived data.</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A11a — Passive Connections</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IN V1</w:t>
            </w:r>
          </w:p>
        </w:tc>
        <w:tc>
          <w:tcPr>
            <w:tcW w:type="dxa" w:w="5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Third philosophical layer — Patterns Surface. V1 without it is philosophically incomplete.</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A11b — Active Connections</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6B7280"/>
                <w:sz w:val="18"/>
                <w:szCs w:val="18"/>
              </w:rPr>
              <w:t xml:space="preserve">POST-V1</w:t>
            </w:r>
          </w:p>
        </w:tc>
        <w:tc>
          <w:tcPr>
            <w:tcW w:type="dxa" w:w="5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Highest philosophy risk. Requires 60+ entries and careful constraint design.</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B1–B3 — Electron</w:t>
            </w:r>
          </w:p>
        </w:tc>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64748B"/>
                <w:sz w:val="18"/>
                <w:szCs w:val="18"/>
              </w:rPr>
              <w:t xml:space="preserve">PHASE B</w:t>
            </w:r>
          </w:p>
        </w:tc>
        <w:tc>
          <w:tcPr>
            <w:tcW w:type="dxa" w:w="57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Begins after V1 complete criteria are met.</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C1 — Portfolio Assets</w:t>
            </w:r>
          </w:p>
        </w:tc>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64748B"/>
                <w:sz w:val="18"/>
                <w:szCs w:val="18"/>
              </w:rPr>
              <w:t xml:space="preserve">PHASE C</w:t>
            </w:r>
          </w:p>
        </w:tc>
        <w:tc>
          <w:tcPr>
            <w:tcW w:type="dxa" w:w="57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Begins after Phase B complete.</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13. </w:t>
      </w:r>
      <w:r>
        <w:rPr>
          <w:rFonts w:ascii="Calibri" w:cs="Calibri" w:eastAsia="Calibri" w:hAnsi="Calibri"/>
          <w:b/>
          <w:bCs/>
          <w:color w:val="1F3A5F"/>
          <w:sz w:val="26"/>
          <w:szCs w:val="26"/>
        </w:rPr>
        <w:t xml:space="preserve">USER JOURNEY SUMMARY</w:t>
      </w:r>
    </w:p>
    <w:p>
      <w:pPr>
        <w:spacing w:after="80" w:before="60" w:line="300"/>
        <w:jc w:val="left"/>
      </w:pPr>
      <w:r>
        <w:rPr>
          <w:rFonts w:ascii="Calibri" w:cs="Calibri" w:eastAsia="Calibri" w:hAnsi="Calibri"/>
          <w:b w:val="false"/>
          <w:bCs w:val="false"/>
          <w:i w:val="false"/>
          <w:iCs w:val="false"/>
          <w:color w:val="1A1A2E"/>
          <w:sz w:val="20"/>
          <w:szCs w:val="20"/>
        </w:rPr>
        <w:t xml:space="preserve">This product uses a temporal model rather than demographic personas. The defining variable is depth of use over time, not user identity.</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rPr>
          <w:tblHeader/>
        </w:trPr>
        <w:tc>
          <w:tcPr>
            <w:tcW w:type="dxa" w:w="1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Stage</w:t>
            </w:r>
          </w:p>
        </w:tc>
        <w:tc>
          <w:tcPr>
            <w:tcW w:type="dxa" w:w="1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Profile</w:t>
            </w:r>
          </w:p>
        </w:tc>
        <w:tc>
          <w:tcPr>
            <w:tcW w:type="dxa" w:w="2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Critical Need</w:t>
            </w:r>
          </w:p>
        </w:tc>
        <w:tc>
          <w:tcPr>
            <w:tcW w:type="dxa" w:w="33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Key Features</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Day 1
The Stranger</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Has tried journalling before and stopped. Cautious.</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Empty heatmap must feel like an open invitation, not an accusation of absence.</w:t>
            </w:r>
          </w:p>
        </w:tc>
        <w:tc>
          <w:tcPr>
            <w:tcW w:type="dxa" w:w="3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7"/>
                <w:szCs w:val="17"/>
              </w:rPr>
              <w:t xml:space="preserve">WelcomeCard; special first-entry closing moment; today cell pulse</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Day 7
The Returner</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Returned more days than not. Tentative routine forming.</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app must use what it knows — a few entries, a mood history — quietly. Recognition without surveillance.</w:t>
            </w:r>
          </w:p>
        </w:tc>
        <w:tc>
          <w:tcPr>
            <w:tcW w:type="dxa" w:w="3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7"/>
                <w:szCs w:val="17"/>
              </w:rPr>
              <w:t xml:space="preserve">Continuity prompt; Quick mode; memory surface in Write</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Day 30
The Practitioner</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Writing has become the way they process. They own the journal.</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Patterns are becoming visible. Insights must be ready. Monthly reflection should be gently offered.</w:t>
            </w:r>
          </w:p>
        </w:tc>
        <w:tc>
          <w:tcPr>
            <w:tcW w:type="dxa" w:w="3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7"/>
                <w:szCs w:val="17"/>
              </w:rPr>
              <w:t xml:space="preserve">Insights with data threshold; rotating prompts; monthly reflection from Timeline</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Day 365
The Anniversary</w:t>
            </w:r>
          </w:p>
        </w:tc>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A full year held in the journal. Heatmap shows the emotional shape of their life.</w:t>
            </w:r>
          </w:p>
        </w:tc>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heatmap must carry this emotional weight. Search is now critical.</w:t>
            </w:r>
          </w:p>
        </w:tc>
        <w:tc>
          <w:tcPr>
            <w:tcW w:type="dxa" w:w="3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7"/>
                <w:szCs w:val="17"/>
              </w:rPr>
              <w:t xml:space="preserve">Full year heatmap; search (A6c); quiet anniversary acknowledgement</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Day 10,000
The Life</w:t>
            </w:r>
          </w:p>
        </w:tc>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27 years of entries.</w:t>
            </w:r>
          </w:p>
        </w:tc>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Permanence, speed at scale, and data portability. Local-first is an ethical decision here, not a technical one.</w:t>
            </w:r>
          </w:p>
        </w:tc>
        <w:tc>
          <w:tcPr>
            <w:tcW w:type="dxa" w:w="3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7"/>
                <w:szCs w:val="17"/>
              </w:rPr>
              <w:t xml:space="preserve">Local-first architecture; open JSON; Phase B file storage</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14. </w:t>
      </w:r>
      <w:r>
        <w:rPr>
          <w:rFonts w:ascii="Calibri" w:cs="Calibri" w:eastAsia="Calibri" w:hAnsi="Calibri"/>
          <w:b/>
          <w:bCs/>
          <w:color w:val="1F3A5F"/>
          <w:sz w:val="26"/>
          <w:szCs w:val="26"/>
        </w:rPr>
        <w:t xml:space="preserve">PRIVACY ARCHITECTURE</w:t>
      </w:r>
    </w:p>
    <w:p>
      <w:pPr>
        <w:spacing w:after="60" w:before="160"/>
      </w:pPr>
      <w:r>
        <w:rPr>
          <w:rFonts w:ascii="Calibri" w:cs="Calibri" w:eastAsia="Calibri" w:hAnsi="Calibri"/>
          <w:b/>
          <w:bCs/>
          <w:color w:val="1A1A2E"/>
          <w:sz w:val="20"/>
          <w:szCs w:val="20"/>
        </w:rPr>
        <w:t xml:space="preserve">14.1  Privacy Principles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Principle</w:t>
            </w:r>
          </w:p>
        </w:tc>
        <w:tc>
          <w:tcPr>
            <w:tcW w:type="dxa" w:w="51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Implementation</w:t>
            </w:r>
          </w:p>
        </w:tc>
        <w:tc>
          <w:tcPr>
            <w:tcW w:type="dxa" w:w="22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Status</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Local by default</w:t>
            </w:r>
          </w:p>
        </w:tc>
        <w:tc>
          <w:tcPr>
            <w:tcW w:type="dxa" w:w="51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All data in localStorage (Phase A) or local encrypted file (Phase B). No server by default.</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Live</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Zero telemetry</w:t>
            </w:r>
          </w:p>
        </w:tc>
        <w:tc>
          <w:tcPr>
            <w:tcW w:type="dxa" w:w="51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 analytics library. No crash reporter. No usage tracking. No external network calls.</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Live</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User owns data</w:t>
            </w:r>
          </w:p>
        </w:tc>
        <w:tc>
          <w:tcPr>
            <w:tcW w:type="dxa" w:w="51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Full JSON export via db.backup.exportAll() — one action, all data types.</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Live</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Open format</w:t>
            </w:r>
          </w:p>
        </w:tc>
        <w:tc>
          <w:tcPr>
            <w:tcW w:type="dxa" w:w="51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Human-readable JSON. Not proprietary. Readable by any text editor without this application.</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Live</w:t>
            </w:r>
          </w:p>
        </w:tc>
      </w:tr>
      <w:tr>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No account required</w:t>
            </w:r>
          </w:p>
        </w:tc>
        <w:tc>
          <w:tcPr>
            <w:tcW w:type="dxa" w:w="51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Application is fully functional without signup, email, or identity of any kind.</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059669"/>
                <w:sz w:val="18"/>
                <w:szCs w:val="18"/>
              </w:rPr>
              <w:t xml:space="preserve">● Live</w:t>
            </w:r>
          </w:p>
        </w:tc>
      </w:tr>
      <w:tr>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Encrypted sync (roadmap)</w:t>
            </w:r>
          </w:p>
        </w:tc>
        <w:tc>
          <w:tcPr>
            <w:tcW w:type="dxa" w:w="51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When cloud sync is introduced in Phase C, server stores ciphertext only. User holds the key.</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Phase C</w:t>
            </w:r>
          </w:p>
        </w:tc>
      </w:tr>
    </w:tbl>
    <w:p>
      <w:pPr>
        <w:spacing w:after="60" w:before="160"/>
      </w:pPr>
      <w:r>
        <w:rPr>
          <w:rFonts w:ascii="Calibri" w:cs="Calibri" w:eastAsia="Calibri" w:hAnsi="Calibri"/>
          <w:b/>
          <w:bCs/>
          <w:color w:val="1A1A2E"/>
          <w:sz w:val="20"/>
          <w:szCs w:val="20"/>
        </w:rPr>
        <w:t xml:space="preserve">14.2  Phase A to Phase B Storage Transition</w:t>
      </w:r>
    </w:p>
    <w:p>
      <w:pPr>
        <w:spacing w:after="80" w:before="60" w:line="300"/>
        <w:jc w:val="left"/>
      </w:pPr>
      <w:r>
        <w:rPr>
          <w:rFonts w:ascii="Calibri" w:cs="Calibri" w:eastAsia="Calibri" w:hAnsi="Calibri"/>
          <w:b w:val="false"/>
          <w:bCs w:val="false"/>
          <w:i w:val="false"/>
          <w:iCs w:val="false"/>
          <w:color w:val="1A1A2E"/>
          <w:sz w:val="20"/>
          <w:szCs w:val="20"/>
        </w:rPr>
        <w:t xml:space="preserve">The storage abstraction layer in db/index.ts is the sole interface between the application and its storage mechanism. In Phase A the implementation is localStorage. In Phase B the implementation is electron-store writing to a local encrypted file. The interface contract does not change. No component outside db/index.ts has knowledge of the storage layer.</w:t>
      </w:r>
    </w:p>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15. </w:t>
      </w:r>
      <w:r>
        <w:rPr>
          <w:rFonts w:ascii="Calibri" w:cs="Calibri" w:eastAsia="Calibri" w:hAnsi="Calibri"/>
          <w:b/>
          <w:bCs/>
          <w:color w:val="1F3A5F"/>
          <w:sz w:val="26"/>
          <w:szCs w:val="26"/>
        </w:rPr>
        <w:t xml:space="preserve">DELIVERY ROADMAP</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2360"/>
      </w:tblGrid>
      <w:tr>
        <w:trPr>
          <w:tblHeader/>
        </w:trPr>
        <w:tc>
          <w:tcPr>
            <w:tcW w:type="dxa" w:w="1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Phase</w:t>
            </w:r>
          </w:p>
        </w:tc>
        <w:tc>
          <w:tcPr>
            <w:tcW w:type="dxa" w:w="2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Description</w:t>
            </w:r>
          </w:p>
        </w:tc>
        <w:tc>
          <w:tcPr>
            <w:tcW w:type="dxa" w:w="32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Key Milestone</w:t>
            </w:r>
          </w:p>
        </w:tc>
        <w:tc>
          <w:tcPr>
            <w:tcW w:type="dxa" w:w="23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Status</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Phase A
Web App</w:t>
            </w:r>
          </w:p>
        </w:tc>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Full feature set built and stabilised in browser. Sessions A1–A11a. Living With It period.</w:t>
            </w:r>
          </w:p>
        </w:tc>
        <w:tc>
          <w:tcPr>
            <w:tcW w:type="dxa" w:w="3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V1 complete: all views finished, Living With It done, no critical bugs</w:t>
            </w:r>
          </w:p>
        </w:tc>
        <w:tc>
          <w:tcPr>
            <w:tcW w:type="dxa" w:w="2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EA580C"/>
                <w:sz w:val="18"/>
                <w:szCs w:val="18"/>
              </w:rPr>
              <w:t xml:space="preserve">◑ In Progress</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Phase B
Electron</w:t>
            </w:r>
          </w:p>
        </w:tc>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Application wrapped in Electron shell. electron-store local file storage. GitHub Actions CI.</w:t>
            </w:r>
          </w:p>
        </w:tc>
        <w:tc>
          <w:tcPr>
            <w:tcW w:type="dxa" w:w="3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Distributable builds: AppImage, .exe, .dmg</w:t>
            </w:r>
          </w:p>
        </w:tc>
        <w:tc>
          <w:tcPr>
            <w:tcW w:type="dxa" w:w="2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Phase C
Portfolio</w:t>
            </w:r>
          </w:p>
        </w:tc>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Demo video, case study documentation, README polish, early adopter testing programme.</w:t>
            </w:r>
          </w:p>
        </w:tc>
        <w:tc>
          <w:tcPr>
            <w:tcW w:type="dxa" w:w="3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Public-ready portfolio artefact and early adopter cohort</w:t>
            </w:r>
          </w:p>
        </w:tc>
        <w:tc>
          <w:tcPr>
            <w:tcW w:type="dxa" w:w="2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pPr>
            <w:r>
              <w:rPr>
                <w:rFonts w:ascii="Calibri" w:cs="Calibri" w:eastAsia="Calibri" w:hAnsi="Calibri"/>
                <w:b/>
                <w:bCs/>
                <w:color w:val="64748B"/>
                <w:sz w:val="18"/>
                <w:szCs w:val="18"/>
              </w:rPr>
              <w:t xml:space="preserve">○ Pending</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Future
Cloud Sync</w:t>
            </w:r>
          </w:p>
        </w:tc>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E2E encrypted sync. Free local + optional paid sync. User holds encryption key.</w:t>
            </w:r>
          </w:p>
        </w:tc>
        <w:tc>
          <w:tcPr>
            <w:tcW w:type="dxa" w:w="3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Sync available with zero trust required in provider</w:t>
            </w:r>
          </w:p>
        </w:tc>
        <w:tc>
          <w:tcPr>
            <w:tcW w:type="dxa" w:w="2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pPr>
            <w:r>
              <w:rPr>
                <w:rFonts w:ascii="Calibri" w:cs="Calibri" w:eastAsia="Calibri" w:hAnsi="Calibri"/>
                <w:b/>
                <w:bCs/>
                <w:color w:val="6B7280"/>
                <w:sz w:val="18"/>
                <w:szCs w:val="18"/>
              </w:rPr>
              <w:t xml:space="preserve">◌ Roadmap</w:t>
            </w:r>
          </w:p>
        </w:tc>
      </w:tr>
    </w:tbl>
    <w:p>
      <w:pPr>
        <w:spacing w:after="60" w:before="160"/>
      </w:pPr>
      <w:r>
        <w:rPr>
          <w:rFonts w:ascii="Calibri" w:cs="Calibri" w:eastAsia="Calibri" w:hAnsi="Calibri"/>
          <w:b/>
          <w:bCs/>
          <w:color w:val="1A1A2E"/>
          <w:sz w:val="20"/>
          <w:szCs w:val="20"/>
        </w:rPr>
        <w:t xml:space="preserve">15.1  Business Model</w:t>
      </w:r>
    </w:p>
    <w:p>
      <w:pPr>
        <w:spacing w:after="80" w:before="60" w:line="300"/>
        <w:jc w:val="left"/>
      </w:pPr>
      <w:r>
        <w:rPr>
          <w:rFonts w:ascii="Calibri" w:cs="Calibri" w:eastAsia="Calibri" w:hAnsi="Calibri"/>
          <w:b w:val="false"/>
          <w:bCs w:val="false"/>
          <w:i w:val="false"/>
          <w:iCs w:val="false"/>
          <w:color w:val="1A1A2E"/>
          <w:sz w:val="20"/>
          <w:szCs w:val="20"/>
        </w:rPr>
        <w:t xml:space="preserve">The application follows the Obsidian model: the core product is free, fully functional, and local forever. An optional paid sync tier adds cross-device access using end-to-end encryption — the user owns the encryption key and the provider cannot read stored content. Revenue derives from users who value sync convenience, not from user data.</w:t>
      </w:r>
    </w:p>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16. </w:t>
      </w:r>
      <w:r>
        <w:rPr>
          <w:rFonts w:ascii="Calibri" w:cs="Calibri" w:eastAsia="Calibri" w:hAnsi="Calibri"/>
          <w:b/>
          <w:bCs/>
          <w:color w:val="1F3A5F"/>
          <w:sz w:val="26"/>
          <w:szCs w:val="26"/>
        </w:rPr>
        <w:t xml:space="preserve">DESIGN LANGUAGE</w:t>
      </w:r>
    </w:p>
    <w:p>
      <w:pPr>
        <w:spacing w:after="60" w:before="160"/>
      </w:pPr>
      <w:r>
        <w:rPr>
          <w:rFonts w:ascii="Calibri" w:cs="Calibri" w:eastAsia="Calibri" w:hAnsi="Calibri"/>
          <w:b/>
          <w:bCs/>
          <w:color w:val="1A1A2E"/>
          <w:sz w:val="20"/>
          <w:szCs w:val="20"/>
        </w:rPr>
        <w:t xml:space="preserve">16.1  Aesthetic Direction — Warm Minimal</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Element</w:t>
            </w:r>
          </w:p>
        </w:tc>
        <w:tc>
          <w:tcPr>
            <w:tcW w:type="dxa" w:w="3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Decision</w:t>
            </w:r>
          </w:p>
        </w:tc>
        <w:tc>
          <w:tcPr>
            <w:tcW w:type="dxa" w:w="45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Rationale</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Background</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Muted warm — cream, slate, soft white</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Inviting without being clinical; warm without being loud</w:t>
            </w:r>
          </w:p>
        </w:tc>
      </w:tr>
      <w:tr>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Accent colour</w:t>
            </w:r>
          </w:p>
        </w:tc>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Single amber/gold — active states only</w:t>
            </w:r>
          </w:p>
        </w:tc>
        <w:tc>
          <w:tcPr>
            <w:tcW w:type="dxa" w:w="4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One accent prevents visual noise; amber reads as warmth, not urgency</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Colour use</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Semantic — mood colours carry meaning</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Users learn the colour language and read the heatmap faster</w:t>
            </w:r>
          </w:p>
        </w:tc>
      </w:tr>
      <w:tr>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Whitespace</w:t>
            </w:r>
          </w:p>
        </w:tc>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Generous — breathing room is structural</w:t>
            </w:r>
          </w:p>
        </w:tc>
        <w:tc>
          <w:tcPr>
            <w:tcW w:type="dxa" w:w="4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Whitespace signals quality and calm; density signals anxiety</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Typography</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Cormorant Garamond (display); DM Sans (body)</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Serif display communicates permanence; sans-serif body ensures legibility</w:t>
            </w:r>
          </w:p>
        </w:tc>
      </w:tr>
      <w:tr>
        <w:tc>
          <w:tcPr>
            <w:tcW w:type="dxa" w:w="1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Motion</w:t>
            </w:r>
          </w:p>
        </w:tc>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Subtle — things slide and fade; nothing bounces</w:t>
            </w:r>
          </w:p>
        </w:tc>
        <w:tc>
          <w:tcPr>
            <w:tcW w:type="dxa" w:w="4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Calm technology: motion confirms state change, never demands attention</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Empty states</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Inviting — 'This is yours.' not 'Nothing here yet.'</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Witness philosophy applied to copy: empty is potential, not failure</w:t>
            </w:r>
          </w:p>
        </w:tc>
      </w:tr>
    </w:tbl>
    <w:p>
      <w:pPr>
        <w:spacing w:after="60" w:before="160"/>
      </w:pPr>
      <w:r>
        <w:rPr>
          <w:rFonts w:ascii="Calibri" w:cs="Calibri" w:eastAsia="Calibri" w:hAnsi="Calibri"/>
          <w:b/>
          <w:bCs/>
          <w:color w:val="1A1A2E"/>
          <w:sz w:val="20"/>
          <w:szCs w:val="20"/>
        </w:rPr>
        <w:t xml:space="preserve">16.2  Mood Colour System</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rPr>
          <w:tblHeader/>
        </w:trPr>
        <w:tc>
          <w:tcPr>
            <w:tcW w:type="dxa" w:w="1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Mood</w:t>
            </w:r>
          </w:p>
        </w:tc>
        <w:tc>
          <w:tcPr>
            <w:tcW w:type="dxa" w:w="2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Colour</w:t>
            </w:r>
          </w:p>
        </w:tc>
        <w:tc>
          <w:tcPr>
            <w:tcW w:type="dxa" w:w="1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Hex</w:t>
            </w:r>
          </w:p>
        </w:tc>
        <w:tc>
          <w:tcPr>
            <w:tcW w:type="dxa" w:w="45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Design Note</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Great</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Warm amber</w:t>
            </w:r>
          </w:p>
        </w:tc>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D97706"/>
                <w:sz w:val="18"/>
                <w:szCs w:val="18"/>
              </w:rPr>
              <w:t xml:space="preserve">F59E0B</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Warm and present — not celebratory or performative</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Good</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Soft sage green</w:t>
            </w:r>
          </w:p>
        </w:tc>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059669"/>
                <w:sz w:val="18"/>
                <w:szCs w:val="18"/>
              </w:rPr>
              <w:t xml:space="preserve">86EFAC</w:t>
            </w:r>
          </w:p>
        </w:tc>
        <w:tc>
          <w:tcPr>
            <w:tcW w:type="dxa" w:w="4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Gentle positive register; not electric green</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Okay</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Neutral warm grey</w:t>
            </w:r>
          </w:p>
        </w:tc>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D1D5DB</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Neutral is not failure — the colour reads as rest, not absence</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Low</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Cool muted blue</w:t>
            </w:r>
          </w:p>
        </w:tc>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3B82F6"/>
                <w:sz w:val="18"/>
                <w:szCs w:val="18"/>
              </w:rPr>
              <w:t xml:space="preserve">93C5FD</w:t>
            </w:r>
          </w:p>
        </w:tc>
        <w:tc>
          <w:tcPr>
            <w:tcW w:type="dxa" w:w="4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Cool and quiet — low is not wrong; blue does not alarm</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Hard</w:t>
            </w:r>
          </w:p>
        </w:tc>
        <w:tc>
          <w:tcPr>
            <w:tcW w:type="dxa" w:w="2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Deep muted slate</w:t>
            </w:r>
          </w:p>
        </w:tc>
        <w:tc>
          <w:tcPr>
            <w:tcW w:type="dxa" w:w="1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64748B"/>
                <w:sz w:val="18"/>
                <w:szCs w:val="18"/>
              </w:rPr>
              <w:t xml:space="preserve">94A3B8</w:t>
            </w:r>
          </w:p>
        </w:tc>
        <w:tc>
          <w:tcPr>
            <w:tcW w:type="dxa" w:w="4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Present and honest — hard is not red; hard is not a failure state</w:t>
            </w:r>
          </w:p>
        </w:tc>
      </w:tr>
      <w:tr>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No entry</w:t>
            </w:r>
          </w:p>
        </w:tc>
        <w:tc>
          <w:tcPr>
            <w:tcW w:type="dxa" w:w="2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Light background slate</w:t>
            </w:r>
          </w:p>
        </w:tc>
        <w:tc>
          <w:tcPr>
            <w:tcW w:type="dxa" w:w="1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F1F5F9</w:t>
            </w:r>
          </w:p>
        </w:tc>
        <w:tc>
          <w:tcPr>
            <w:tcW w:type="dxa" w:w="4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Unknown, not absent — empty cell is unreported, not missed</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17. </w:t>
      </w:r>
      <w:r>
        <w:rPr>
          <w:rFonts w:ascii="Calibri" w:cs="Calibri" w:eastAsia="Calibri" w:hAnsi="Calibri"/>
          <w:b/>
          <w:bCs/>
          <w:color w:val="1F3A5F"/>
          <w:sz w:val="26"/>
          <w:szCs w:val="26"/>
        </w:rPr>
        <w:t xml:space="preserve">TECHNICAL STACK</w:t>
      </w:r>
    </w:p>
    <w:p>
      <w:pPr>
        <w:spacing w:after="60" w:before="160"/>
      </w:pPr>
      <w:r>
        <w:rPr>
          <w:rFonts w:ascii="Calibri" w:cs="Calibri" w:eastAsia="Calibri" w:hAnsi="Calibri"/>
          <w:b/>
          <w:bCs/>
          <w:color w:val="1A1A2E"/>
          <w:sz w:val="20"/>
          <w:szCs w:val="20"/>
        </w:rPr>
        <w:t xml:space="preserve">17.1  Phase A — Current</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rPr>
          <w:tblHeader/>
        </w:trPr>
        <w:tc>
          <w:tcPr>
            <w:tcW w:type="dxa" w:w="16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Category</w:t>
            </w:r>
          </w:p>
        </w:tc>
        <w:tc>
          <w:tcPr>
            <w:tcW w:type="dxa" w:w="22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Technology</w:t>
            </w:r>
          </w:p>
        </w:tc>
        <w:tc>
          <w:tcPr>
            <w:tcW w:type="dxa" w:w="12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Version</w:t>
            </w:r>
          </w:p>
        </w:tc>
        <w:tc>
          <w:tcPr>
            <w:tcW w:type="dxa" w:w="43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Role</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Framework</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React</w:t>
            </w:r>
          </w:p>
        </w:tc>
        <w:tc>
          <w:tcPr>
            <w:tcW w:type="dxa" w:w="1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18</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Component architecture and rendering</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Language</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TypeScript</w:t>
            </w:r>
          </w:p>
        </w:tc>
        <w:tc>
          <w:tcPr>
            <w:tcW w:type="dxa" w:w="1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5</w:t>
            </w:r>
          </w:p>
        </w:tc>
        <w:tc>
          <w:tcPr>
            <w:tcW w:type="dxa" w:w="4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Type safety; all interfaces defined in types.ts</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Build Tool</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Vite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6</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Development server; production bundle</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Styling</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Tailwind CSS</w:t>
            </w:r>
          </w:p>
        </w:tc>
        <w:tc>
          <w:tcPr>
            <w:tcW w:type="dxa" w:w="1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v4</w:t>
            </w:r>
          </w:p>
        </w:tc>
        <w:tc>
          <w:tcPr>
            <w:tcW w:type="dxa" w:w="4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Utility-first; no custom CSS framework</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UI Primitives</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Radix UI + shadcn/ui</w:t>
            </w:r>
          </w:p>
        </w:tc>
        <w:tc>
          <w:tcPr>
            <w:tcW w:type="dxa" w:w="1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Current</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Accessible unstyled components; shadcn patterns</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Charts</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Recharts</w:t>
            </w:r>
          </w:p>
        </w:tc>
        <w:tc>
          <w:tcPr>
            <w:tcW w:type="dxa" w:w="1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Current</w:t>
            </w:r>
          </w:p>
        </w:tc>
        <w:tc>
          <w:tcPr>
            <w:tcW w:type="dxa" w:w="4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Mood chart; data visualisation in Insights</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Animation</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Motion (Framer Motion)</w:t>
            </w:r>
          </w:p>
        </w:tc>
        <w:tc>
          <w:tcPr>
            <w:tcW w:type="dxa" w:w="1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v12</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Staggered entrances; closing moment overlay</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Icons</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Lucide React</w:t>
            </w:r>
          </w:p>
        </w:tc>
        <w:tc>
          <w:tcPr>
            <w:tcW w:type="dxa" w:w="1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Current</w:t>
            </w:r>
          </w:p>
        </w:tc>
        <w:tc>
          <w:tcPr>
            <w:tcW w:type="dxa" w:w="4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Consistent, lightweight icon set</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Date Handling</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date-fns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Current</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Date arithmetic; formatting; period calculations</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Storage</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localStorage via db/index.ts</w:t>
            </w:r>
          </w:p>
        </w:tc>
        <w:tc>
          <w:tcPr>
            <w:tcW w:type="dxa" w:w="1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Custom</w:t>
            </w:r>
          </w:p>
        </w:tc>
        <w:tc>
          <w:tcPr>
            <w:tcW w:type="dxa" w:w="4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Abstracted; all reads/writes via single interface</w:t>
            </w:r>
          </w:p>
        </w:tc>
      </w:tr>
      <w:tr>
        <w:tc>
          <w:tcPr>
            <w:tcW w:type="dxa" w:w="16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Typography</w:t>
            </w:r>
          </w:p>
        </w:tc>
        <w:tc>
          <w:tcPr>
            <w:tcW w:type="dxa" w:w="2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Cormorant Garamond + DM Sans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Google Fonts</w:t>
            </w:r>
          </w:p>
        </w:tc>
        <w:tc>
          <w:tcPr>
            <w:tcW w:type="dxa" w:w="4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Display and body type pairing</w:t>
            </w:r>
          </w:p>
        </w:tc>
      </w:tr>
      <w:tr>
        <w:tc>
          <w:tcPr>
            <w:tcW w:type="dxa" w:w="16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1A1A2E"/>
                <w:sz w:val="18"/>
                <w:szCs w:val="18"/>
              </w:rPr>
              <w:t xml:space="preserve">Deployment</w:t>
            </w:r>
          </w:p>
        </w:tc>
        <w:tc>
          <w:tcPr>
            <w:tcW w:type="dxa" w:w="2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GitHub Pages</w:t>
            </w:r>
          </w:p>
        </w:tc>
        <w:tc>
          <w:tcPr>
            <w:tcW w:type="dxa" w:w="12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6B7280"/>
                <w:sz w:val="18"/>
                <w:szCs w:val="18"/>
              </w:rPr>
              <w:t xml:space="preserve">—</w:t>
            </w:r>
          </w:p>
        </w:tc>
        <w:tc>
          <w:tcPr>
            <w:tcW w:type="dxa" w:w="4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Live at krishna-yelnure.github.io/Reflect</w:t>
            </w:r>
          </w:p>
        </w:tc>
      </w:tr>
    </w:tbl>
    <w:p>
      <w:pPr>
        <w:spacing w:after="60" w:before="160"/>
      </w:pPr>
      <w:r>
        <w:rPr>
          <w:rFonts w:ascii="Calibri" w:cs="Calibri" w:eastAsia="Calibri" w:hAnsi="Calibri"/>
          <w:b/>
          <w:bCs/>
          <w:color w:val="1A1A2E"/>
          <w:sz w:val="20"/>
          <w:szCs w:val="20"/>
        </w:rPr>
        <w:t xml:space="preserve">17.2  Phase B Additions — Electron</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Technology</w:t>
            </w:r>
          </w:p>
        </w:tc>
        <w:tc>
          <w:tcPr>
            <w:tcW w:type="dxa" w:w="69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Role</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electron</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Desktop application shell — provides file system and OS-level API access</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electron-builder</w:t>
            </w:r>
          </w:p>
        </w:tc>
        <w:tc>
          <w:tcPr>
            <w:tcW w:type="dxa" w:w="6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Cross-platform installer generation: AppImage (Linux), .exe (Windows), .dmg (macOS)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electron-store</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Encrypted local file storage — replaces localStorage; db/index.ts is the only file that changes</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GitHub Actions</w:t>
            </w:r>
          </w:p>
        </w:tc>
        <w:tc>
          <w:tcPr>
            <w:tcW w:type="dxa" w:w="6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CI/CD pipeline — builds and tests all three platforms on every push to main</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18. </w:t>
      </w:r>
      <w:r>
        <w:rPr>
          <w:rFonts w:ascii="Calibri" w:cs="Calibri" w:eastAsia="Calibri" w:hAnsi="Calibri"/>
          <w:b/>
          <w:bCs/>
          <w:color w:val="1F3A5F"/>
          <w:sz w:val="26"/>
          <w:szCs w:val="26"/>
        </w:rPr>
        <w:t xml:space="preserve">ASSUMPTIONS AND CONSTRAINTS</w:t>
      </w:r>
    </w:p>
    <w:p>
      <w:pPr>
        <w:spacing w:after="60" w:before="160"/>
      </w:pPr>
      <w:r>
        <w:rPr>
          <w:rFonts w:ascii="Calibri" w:cs="Calibri" w:eastAsia="Calibri" w:hAnsi="Calibri"/>
          <w:b/>
          <w:bCs/>
          <w:color w:val="1A1A2E"/>
          <w:sz w:val="20"/>
          <w:szCs w:val="20"/>
        </w:rPr>
        <w:t xml:space="preserve">18.1  Operating Assumptions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Assumption</w:t>
            </w:r>
          </w:p>
        </w:tc>
        <w:tc>
          <w:tcPr>
            <w:tcW w:type="dxa" w:w="30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Basis</w:t>
            </w:r>
          </w:p>
        </w:tc>
        <w:tc>
          <w:tcPr>
            <w:tcW w:type="dxa" w:w="33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Risk if Invalid</w:t>
            </w:r>
          </w:p>
        </w:tc>
      </w:tr>
      <w:tr>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localStorage is sufficient for Phase A entry volume</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Typical daily entries are under 2KB; 5MB limit supports 2,500+ entries</w:t>
            </w:r>
          </w:p>
        </w:tc>
        <w:tc>
          <w:tcPr>
            <w:tcW w:type="dxa" w:w="3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EA580C"/>
                <w:sz w:val="18"/>
                <w:szCs w:val="18"/>
              </w:rPr>
              <w:t xml:space="preserve">Storage overflow before Phase B — mitigated by quota warning</w:t>
            </w:r>
          </w:p>
        </w:tc>
      </w:tr>
      <w:tr>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30+ real entries required before search can be built correctly</w:t>
            </w:r>
          </w:p>
        </w:tc>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Search design depends on actual search behaviour, not assumed behaviour</w:t>
            </w:r>
          </w:p>
        </w:tc>
        <w:tc>
          <w:tcPr>
            <w:tcW w:type="dxa" w:w="3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EA580C"/>
                <w:sz w:val="18"/>
                <w:szCs w:val="18"/>
              </w:rPr>
              <w:t xml:space="preserve">Search built for the wrong use case; requires rework</w:t>
            </w:r>
          </w:p>
        </w:tc>
      </w:tr>
      <w:tr>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Electron wrapping is straightforward for this React/Vite stack</w:t>
            </w:r>
          </w:p>
        </w:tc>
        <w:tc>
          <w:tcPr>
            <w:tcW w:type="dxa" w:w="30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electron-builder has documented support for Vite-based applications</w:t>
            </w:r>
          </w:p>
        </w:tc>
        <w:tc>
          <w:tcPr>
            <w:tcW w:type="dxa" w:w="33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EA580C"/>
                <w:sz w:val="18"/>
                <w:szCs w:val="18"/>
              </w:rPr>
              <w:t xml:space="preserve">Phase B complexity higher than planned; schedule impact</w:t>
            </w:r>
          </w:p>
        </w:tc>
      </w:tr>
      <w:tr>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Living With It period will surface design problems before public release</w:t>
            </w:r>
          </w:p>
        </w:tc>
        <w:tc>
          <w:tcPr>
            <w:tcW w:type="dxa" w:w="30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iCs/>
                <w:color w:val="1A1A2E"/>
                <w:sz w:val="18"/>
                <w:szCs w:val="18"/>
              </w:rPr>
              <w:t xml:space="preserve">Structured daily use by primary user over minimum two weeks</w:t>
            </w:r>
          </w:p>
        </w:tc>
        <w:tc>
          <w:tcPr>
            <w:tcW w:type="dxa" w:w="33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EA580C"/>
                <w:sz w:val="18"/>
                <w:szCs w:val="18"/>
              </w:rPr>
              <w:t xml:space="preserve">Problems surface post-release — mitigated by early adopter testing</w:t>
            </w:r>
          </w:p>
        </w:tc>
      </w:tr>
    </w:tbl>
    <w:p>
      <w:pPr>
        <w:spacing w:after="60" w:before="160"/>
      </w:pPr>
      <w:r>
        <w:rPr>
          <w:rFonts w:ascii="Calibri" w:cs="Calibri" w:eastAsia="Calibri" w:hAnsi="Calibri"/>
          <w:b/>
          <w:bCs/>
          <w:color w:val="1A1A2E"/>
          <w:sz w:val="20"/>
          <w:szCs w:val="20"/>
        </w:rPr>
        <w:t xml:space="preserve">18.2  Hard Constraints</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Constraint</w:t>
            </w:r>
          </w:p>
        </w:tc>
        <w:tc>
          <w:tcPr>
            <w:tcW w:type="dxa" w:w="65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Description</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Zero telemetry — permanent</w:t>
            </w:r>
          </w:p>
        </w:tc>
        <w:tc>
          <w:tcPr>
            <w:tcW w:type="dxa" w:w="6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 analytics, no crash reporting, no usage data collection at any point in any phase. Non-negotiable.</w:t>
            </w:r>
          </w:p>
        </w:tc>
      </w:tr>
      <w:tr>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Entry content never processed</w:t>
            </w:r>
          </w:p>
        </w:tc>
        <w:tc>
          <w:tcPr>
            <w:tcW w:type="dxa" w:w="6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No feature may read, summarise, or act on the text content of journal entries. Metadata (mood, tags, dates) is permitted. Content is not.</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Open export format — permanent</w:t>
            </w:r>
          </w:p>
        </w:tc>
        <w:tc>
          <w:tcPr>
            <w:tcW w:type="dxa" w:w="6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Export must always produce human-readable JSON. No proprietary format. This constraint does not change in any phase.</w:t>
            </w:r>
          </w:p>
        </w:tc>
      </w:tr>
      <w:tr>
        <w:tc>
          <w:tcPr>
            <w:tcW w:type="dxa" w:w="28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No account requirement</w:t>
            </w:r>
          </w:p>
        </w:tc>
        <w:tc>
          <w:tcPr>
            <w:tcW w:type="dxa" w:w="65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application must be fully functional without signup, email, or identity. Cloud sync may require an account; the core application may not.</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EA580C"/>
                <w:sz w:val="18"/>
                <w:szCs w:val="18"/>
              </w:rPr>
              <w:t xml:space="preserve">Witness test for all features</w:t>
            </w:r>
          </w:p>
        </w:tc>
        <w:tc>
          <w:tcPr>
            <w:tcW w:type="dxa" w:w="65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Every feature shipped must pass: does this make the application feel more like a witness or a manager? Manager features are not shipped regardless of user demand.</w:t>
            </w:r>
          </w:p>
        </w:tc>
      </w:tr>
    </w:tbl>
    <w:p>
      <w:pPr>
        <w:spacing w:after="0" w:before="40" w:line="276"/>
        <w:jc w:val="left"/>
      </w:pPr>
      <w:r>
        <w:rPr>
          <w:rFonts w:ascii="Calibri" w:cs="Calibri" w:eastAsia="Calibri" w:hAnsi="Calibri"/>
          <w:b w:val="false"/>
          <w:bCs w:val="false"/>
          <w:i w:val="false"/>
          <w:iCs w:val="false"/>
          <w:color w:val="1A1A2E"/>
          <w:sz w:val="20"/>
          <w:szCs w:val="20"/>
        </w:rPr>
        <w:t xml:space="preserve"/>
      </w:r>
    </w:p>
    <w:p>
      <w:pPr>
        <w:pBdr>
          <w:bottom w:val="single" w:color="2E5F8A" w:sz="14" w:space="4"/>
        </w:pBdr>
        <w:spacing w:after="120" w:before="280"/>
      </w:pPr>
      <w:r>
        <w:rPr>
          <w:rFonts w:ascii="Calibri" w:cs="Calibri" w:eastAsia="Calibri" w:hAnsi="Calibri"/>
          <w:b/>
          <w:bCs/>
          <w:color w:val="2E5F8A"/>
          <w:sz w:val="26"/>
          <w:szCs w:val="26"/>
        </w:rPr>
        <w:t xml:space="preserve">19. </w:t>
      </w:r>
      <w:r>
        <w:rPr>
          <w:rFonts w:ascii="Calibri" w:cs="Calibri" w:eastAsia="Calibri" w:hAnsi="Calibri"/>
          <w:b/>
          <w:bCs/>
          <w:color w:val="1F3A5F"/>
          <w:sz w:val="26"/>
          <w:szCs w:val="26"/>
        </w:rPr>
        <w:t xml:space="preserve">GLOSSARY</w:t>
      </w:r>
    </w:p>
    <w:p>
      <w:pPr>
        <w:spacing w:after="0" w:before="40" w:line="276"/>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Term</w:t>
            </w:r>
          </w:p>
        </w:tc>
        <w:tc>
          <w:tcPr>
            <w:tcW w:type="dxa" w:w="6960"/>
            <w:tcBorders>
              <w:top w:val="none" w:color="FFFFFF" w:sz="0"/>
              <w:left w:val="none" w:color="FFFFFF" w:sz="0"/>
              <w:bottom w:val="none" w:color="FFFFFF" w:sz="0"/>
              <w:right w:val="none" w:color="FFFFFF" w:sz="0"/>
            </w:tcBorders>
            <w:shd w:fill="1F3A5F" w:val="clear"/>
            <w:tcMar>
              <w:top w:type="dxa" w:w="80"/>
              <w:left w:type="dxa" w:w="120"/>
              <w:bottom w:type="dxa" w:w="80"/>
              <w:right w:type="dxa" w:w="120"/>
            </w:tcMar>
            <w:vAlign w:val="center"/>
          </w:tcPr>
          <w:p>
            <w:pPr>
              <w:spacing w:after="0" w:before="0"/>
            </w:pPr>
            <w:r>
              <w:rPr>
                <w:rFonts w:ascii="Calibri" w:cs="Calibri" w:eastAsia="Calibri" w:hAnsi="Calibri"/>
                <w:b/>
                <w:bCs/>
                <w:color w:val="FFFFFF"/>
                <w:sz w:val="18"/>
                <w:szCs w:val="18"/>
              </w:rPr>
              <w:t xml:space="preserve">Definition</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Witness philosophy</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governing product philosophy. The application observes and holds — it does not judge, score, instruct, or measure. Every feature is tested against this principle.</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The Mirror</w:t>
            </w:r>
          </w:p>
        </w:tc>
        <w:tc>
          <w:tcPr>
            <w:tcW w:type="dxa" w:w="6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Layer 2 of the Witness philosophy. Features that show users themselves over time — heatmap, year-ago surfacing, mood patterns. Reflects texture, never quality.</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The Patterns Surface</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Layer 3. Features that make existing connections in a user's writing legible. Co-occurrence only; no causation; presence only, never absence.</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Day 10,000</w:t>
            </w:r>
          </w:p>
        </w:tc>
        <w:tc>
          <w:tcPr>
            <w:tcW w:type="dxa" w:w="6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27-year journalling scenario used as the north star for architecture decisions. If a decision fails the Day 10,000 user, it is the wrong decision.</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Closing moment</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full-screen overlay displayed after saving a new entry. Fires on new entries only; edits receive a toast. Auto-dismisses at 2.8 seconds.</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Contextual prompt</w:t>
            </w:r>
          </w:p>
        </w:tc>
        <w:tc>
          <w:tcPr>
            <w:tcW w:type="dxa" w:w="6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Single-line prompt shown above the write form. Priority: year-ago entry &gt; yesterday continuity &gt; daily rotating prompt. One at a time only.</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db/index.ts</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storage abstraction layer. The single interface between the application and its storage mechanism. Only this file changes in the Phase A-to-B swap.</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Synthetic date key</w:t>
            </w:r>
          </w:p>
        </w:tc>
        <w:tc>
          <w:tcPr>
            <w:tcW w:type="dxa" w:w="6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date key format used for reflection entries (e.g. reflection-weekly-2026-03-02). Cannot collide with daily entry keys.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Living With It</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Post-A11a period of daily use with no active development. Required before V1 is declared complete. Minimum two weeks.</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Brainstorm-first rule</w:t>
            </w:r>
          </w:p>
        </w:tc>
        <w:tc>
          <w:tcPr>
            <w:tcW w:type="dxa" w:w="6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Any session containing design decisions requires a brainstorm entry in BUILDLOG.md before any code is written. Enforced from A6c onward.</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Language Fingerprint</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A6d feature. Keyword matching algorithm mapping user text across four dimensions: Cognitive, Somatic, Relational, and Aspirational.</w:t>
            </w:r>
          </w:p>
        </w:tc>
      </w:tr>
      <w:tr>
        <w:tc>
          <w:tcPr>
            <w:tcW w:type="dxa" w:w="240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Theme system</w:t>
            </w:r>
          </w:p>
        </w:tc>
        <w:tc>
          <w:tcPr>
            <w:tcW w:type="dxa" w:w="6960"/>
            <w:tcBorders>
              <w:top w:val="single" w:color="CBD5E1" w:sz="4"/>
              <w:left w:val="single" w:color="CBD5E1" w:sz="4"/>
              <w:bottom w:val="single" w:color="CBD5E1" w:sz="4"/>
              <w:right w:val="single" w:color="CBD5E1" w:sz="4"/>
            </w:tcBorders>
            <w:shd w:fill="EEF2F7"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Five visual themes (Morning Light, Midnight, Forest, Minimal, Warm) selectable from sidebar footer. Persists across sessions via localStorage.</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bCs/>
                <w:i w:val="false"/>
                <w:iCs w:val="false"/>
                <w:color w:val="2E5F8A"/>
                <w:sz w:val="18"/>
                <w:szCs w:val="18"/>
              </w:rPr>
              <w:t xml:space="preserve">V1 complete</w:t>
            </w:r>
          </w:p>
        </w:tc>
        <w:tc>
          <w:tcPr>
            <w:tcW w:type="dxa" w:w="6960"/>
            <w:tcBorders>
              <w:top w:val="single" w:color="CBD5E1" w:sz="4"/>
              <w:left w:val="single" w:color="CBD5E1" w:sz="4"/>
              <w:bottom w:val="single" w:color="CBD5E1" w:sz="4"/>
              <w:right w:val="single" w:color="CBD5E1" w:sz="4"/>
            </w:tcBorders>
            <w:shd w:fill="F8FAFC" w:val="clear"/>
            <w:tcMar>
              <w:top w:type="dxa" w:w="70"/>
              <w:left w:type="dxa" w:w="120"/>
              <w:bottom w:type="dxa" w:w="70"/>
              <w:right w:type="dxa" w:w="120"/>
            </w:tcMar>
            <w:vAlign w:val="top"/>
          </w:tcPr>
          <w:p>
            <w:pPr>
              <w:spacing w:after="0" w:before="0" w:line="280"/>
            </w:pPr>
            <w:r>
              <w:rPr>
                <w:rFonts w:ascii="Calibri" w:cs="Calibri" w:eastAsia="Calibri" w:hAnsi="Calibri"/>
                <w:b w:val="false"/>
                <w:bCs w:val="false"/>
                <w:i w:val="false"/>
                <w:iCs w:val="false"/>
                <w:color w:val="1A1A2E"/>
                <w:sz w:val="18"/>
                <w:szCs w:val="18"/>
              </w:rPr>
              <w:t xml:space="preserve">The set of criteria that must all be true before Phase B begins. Defined in V1-Scope.md.</w:t>
            </w:r>
          </w:p>
        </w:tc>
      </w:tr>
    </w:tbl>
    <w:p>
      <w:pPr>
        <w:spacing w:after="0" w:before="120" w:line="276"/>
        <w:jc w:val="left"/>
      </w:pPr>
      <w:r>
        <w:rPr>
          <w:rFonts w:ascii="Calibri" w:cs="Calibri" w:eastAsia="Calibri" w:hAnsi="Calibri"/>
          <w:b w:val="false"/>
          <w:bCs w:val="false"/>
          <w:i w:val="false"/>
          <w:iCs w:val="false"/>
          <w:color w:val="1A1A2E"/>
          <w:sz w:val="20"/>
          <w:szCs w:val="20"/>
        </w:rPr>
        <w:t xml:space="preserve"/>
      </w:r>
    </w:p>
    <w:p>
      <w:pPr>
        <w:pBdr>
          <w:top w:val="single" w:color="2E5F8A" w:sz="6" w:space="6"/>
        </w:pBdr>
        <w:spacing w:after="0" w:before="200"/>
      </w:pPr>
      <w:r>
        <w:rPr>
          <w:rFonts w:ascii="Calibri" w:cs="Calibri" w:eastAsia="Calibri" w:hAnsi="Calibri"/>
          <w:color w:val="6B7280"/>
          <w:sz w:val="17"/>
          <w:szCs w:val="17"/>
        </w:rPr>
        <w:t xml:space="preserve">Reflect — Business Analysis Document  ·  v2.0  ·  March 2026  ·  Krishna Yelnure</w:t>
      </w:r>
    </w:p>
    <w:p>
      <w:pPr>
        <w:spacing w:after="0" w:before="40"/>
      </w:pPr>
      <w:r>
        <w:rPr>
          <w:rFonts w:ascii="Calibri" w:cs="Calibri" w:eastAsia="Calibri" w:hAnsi="Calibri"/>
          <w:color w:val="6B7280"/>
          <w:sz w:val="17"/>
          <w:szCs w:val="17"/>
        </w:rPr>
        <w:t xml:space="preserve">Live: krishna-yelnure.github.io/Reflect  ·  Source: github.com/Krishna-Yelnure/Reflect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6" w:space="4"/>
      </w:pBdr>
      <w:tabs>
        <w:tab w:val="right" w:pos="9360"/>
      </w:tabs>
      <w:spacing w:after="0" w:before="80"/>
    </w:pPr>
    <w:r>
      <w:rPr>
        <w:rFonts w:ascii="Calibri" w:cs="Calibri" w:eastAsia="Calibri" w:hAnsi="Calibri"/>
        <w:color w:val="6B7280"/>
        <w:sz w:val="16"/>
        <w:szCs w:val="16"/>
      </w:rPr>
      <w:t xml:space="preserve">Krishna Yelnure  ·  Reflect — BA Document</w:t>
    </w:r>
    <w:r>
      <w:rPr>
        <w:rFonts w:ascii="Calibri" w:cs="Calibri" w:eastAsia="Calibri" w:hAnsi="Calibri"/>
        <w:sz w:val="16"/>
        <w:szCs w:val="16"/>
      </w:rPr>
      <w:t xml:space="preserve">	</w:t>
    </w:r>
    <w:r>
      <w:rPr>
        <w:rFonts w:ascii="Calibri" w:cs="Calibri" w:eastAsia="Calibri" w:hAnsi="Calibri"/>
        <w:color w:val="6B728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6" w:space="4"/>
      </w:pBdr>
      <w:spacing w:after="80" w:before="0"/>
    </w:pPr>
    <w:r>
      <w:rPr>
        <w:rFonts w:ascii="Calibri" w:cs="Calibri" w:eastAsia="Calibri" w:hAnsi="Calibri"/>
        <w:color w:val="6B7280"/>
        <w:sz w:val="16"/>
        <w:szCs w:val="16"/>
      </w:rPr>
      <w:t xml:space="preserve">REFLECT  ·  Business Analysis Document</w:t>
    </w:r>
    <w:r>
      <w:rPr>
        <w:rFonts w:ascii="Calibri" w:cs="Calibri" w:eastAsia="Calibri" w:hAnsi="Calibri"/>
        <w:color w:val="6B7280"/>
        <w:sz w:val="16"/>
        <w:szCs w:val="16"/>
      </w:rPr>
      <w:t xml:space="preserve">   |   v2.0  ·  March 2026</w:t>
    </w:r>
    <w:r>
      <w:rPr>
        <w:rFonts w:ascii="Calibri" w:cs="Calibri" w:eastAsia="Calibri" w:hAnsi="Calibri"/>
        <w:color w:val="6B7280"/>
        <w:sz w:val="16"/>
        <w:szCs w:val="16"/>
      </w:rPr>
      <w:t xml:space="preserve">   |   Confidential — Portfolio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2026-03-26T05:53:59.803Z</dcterms:created>
  <dcterms:modified xsi:type="dcterms:W3CDTF">2026-03-26T05:53:59.805Z</dcterms:modified>
</cp:coreProperties>
</file>

<file path=docProps/custom.xml><?xml version="1.0" encoding="utf-8"?>
<Properties xmlns="http://schemas.openxmlformats.org/officeDocument/2006/custom-properties" xmlns:vt="http://schemas.openxmlformats.org/officeDocument/2006/docPropsVTypes"/>
</file>