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Georgia" w:cs="Georgia" w:eastAsia="Georgia" w:hAnsi="Georgia"/>
          <w:b/>
          <w:bCs/>
          <w:color w:val="C17F24"/>
          <w:sz w:val="52"/>
          <w:szCs w:val="52"/>
        </w:rPr>
        <w:t xml:space="preserve">The Bhagavad Gita &amp; the Witness Journal</w:t>
      </w:r>
    </w:p>
    <w:p>
      <w:pPr>
        <w:spacing w:before="60" w:after="80"/>
        <w:jc w:val="center"/>
      </w:pPr>
      <w:r>
        <w:rPr>
          <w:rFonts w:ascii="Calibri" w:cs="Calibri" w:eastAsia="Calibri" w:hAnsi="Calibri"/>
          <w:i/>
          <w:iCs/>
          <w:color w:val="888888"/>
          <w:sz w:val="24"/>
          <w:szCs w:val="24"/>
        </w:rPr>
        <w:t xml:space="preserve">A Philosophy Integration Analysis — March 2026</w:t>
      </w:r>
    </w:p>
    <w:p>
      <w:pPr>
        <w:spacing w:before="40" w:after="0"/>
        <w:jc w:val="center"/>
      </w:pPr>
      <w:r>
        <w:rPr>
          <w:rFonts w:ascii="Calibri" w:cs="Calibri" w:eastAsia="Calibri" w:hAnsi="Calibri"/>
          <w:i/>
          <w:iCs/>
          <w:color w:val="4A4A4A"/>
          <w:sz w:val="22"/>
          <w:szCs w:val="22"/>
        </w:rPr>
        <w:t xml:space="preserve">What fits. What strengthens. What to build next.</w:t>
      </w:r>
    </w:p>
    <w:p>
      <w:r>
        <w:br w:type="page"/>
      </w:r>
    </w:p>
    <w:p>
      <w:pPr>
        <w:spacing w:before="400" w:after="180"/>
      </w:pPr>
      <w:r>
        <w:rPr>
          <w:rFonts w:ascii="Georgia" w:cs="Georgia" w:eastAsia="Georgia" w:hAnsi="Georgia"/>
          <w:b/>
          <w:bCs/>
          <w:color w:val="2C1810"/>
          <w:sz w:val="40"/>
          <w:szCs w:val="40"/>
        </w:rPr>
        <w:t xml:space="preserve">Why the Gita Fits</w:t>
      </w:r>
    </w:p>
    <w:p>
      <w:pPr>
        <w:spacing w:before="60" w:after="80"/>
      </w:pPr>
      <w:r>
        <w:rPr>
          <w:rFonts w:ascii="Calibri" w:cs="Calibri" w:eastAsia="Calibri" w:hAnsi="Calibri"/>
          <w:color w:val="4A4A4A"/>
          <w:sz w:val="22"/>
          <w:szCs w:val="22"/>
        </w:rPr>
        <w:t xml:space="preserve">The Witness Journal is built on one irreducible idea: the app observes but never directs. It holds but never judges. This is, almost word-for-word, the Gita’s concept of the Sakshi — the inner Witness.</w:t>
      </w:r>
    </w:p>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The Gita’s central drama is Arjuna confronting the gap between what he knows he must do and what fear and desire urge him toward. Every daily journal entry is the same drama at a smaller scale: the user standing between the harder right and the easier wrong, trying to find clarity.</w:t>
      </w:r>
    </w:p>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The Witness Journal does not tell users what to choose. Neither does the Gita. The Gita gives Arjuna the philosophical framework to see more clearly — then leaves the choice entirely to him. That is precisely what this app does.</w:t>
      </w:r>
    </w:p>
    <w:p>
      <w:pPr>
        <w:spacing w:before="60" w:after="80"/>
      </w:pPr>
      <w:r>
        <w:rPr>
          <w:rFonts w:ascii="Calibri" w:cs="Calibri" w:eastAsia="Calibri" w:hAnsi="Calibri"/>
          <w:color w:val="4A4A4A"/>
          <w:sz w:val="22"/>
          <w:szCs w:val="22"/>
        </w:rPr>
        <w:t xml:space="preserve"/>
      </w:r>
    </w:p>
    <w:p>
      <w:pPr>
        <w:pBdr>
          <w:left w:val="single" w:color="C17F24" w:sz="12" w:space="12"/>
        </w:pBdr>
        <w:spacing w:before="100" w:after="100"/>
        <w:ind w:left="720" w:right="360"/>
      </w:pPr>
      <w:r>
        <w:rPr>
          <w:rFonts w:ascii="Georgia" w:cs="Georgia" w:eastAsia="Georgia" w:hAnsi="Georgia"/>
          <w:i/>
          <w:iCs/>
          <w:color w:val="2C1810"/>
          <w:sz w:val="22"/>
          <w:szCs w:val="22"/>
        </w:rPr>
        <w:t xml:space="preserve">“The Gita’s ultimate goal is self-realization — becoming the quiet observer of the mind’s chaotic activity. This mirrors the app’s core design requirement exactly: to be a Witness, not a Manager.”</w:t>
      </w:r>
    </w:p>
    <w:p>
      <w:pPr>
        <w:pBdr>
          <w:bottom w:val="single" w:color="D4C5A9" w:sz="4" w:space="1"/>
        </w:pBdr>
        <w:spacing w:before="200" w:after="200"/>
      </w:pPr>
    </w:p>
    <w:p>
      <w:pPr>
        <w:spacing w:before="400" w:after="180"/>
      </w:pPr>
      <w:r>
        <w:rPr>
          <w:rFonts w:ascii="Georgia" w:cs="Georgia" w:eastAsia="Georgia" w:hAnsi="Georgia"/>
          <w:b/>
          <w:bCs/>
          <w:color w:val="2C1810"/>
          <w:sz w:val="40"/>
          <w:szCs w:val="40"/>
        </w:rPr>
        <w:t xml:space="preserve">Five Gita Teachings That Map Directly to the App</w:t>
      </w:r>
    </w:p>
    <w:p>
      <w:pPr>
        <w:spacing w:before="280" w:after="120"/>
      </w:pPr>
      <w:r>
        <w:rPr>
          <w:rFonts w:ascii="Georgia" w:cs="Georgia" w:eastAsia="Georgia" w:hAnsi="Georgia"/>
          <w:b/>
          <w:bCs/>
          <w:color w:val="C17F24"/>
          <w:sz w:val="26"/>
          <w:szCs w:val="26"/>
        </w:rPr>
        <w:t xml:space="preserve">1. Nishkama Karma — Action Without Attachment to Outcome</w:t>
      </w:r>
    </w:p>
    <w:p>
      <w:pPr>
        <w:spacing w:before="60" w:after="80"/>
      </w:pPr>
      <w:r>
        <w:rPr>
          <w:rFonts w:ascii="Calibri" w:cs="Calibri" w:eastAsia="Calibri" w:hAnsi="Calibri"/>
          <w:color w:val="4A4A4A"/>
          <w:sz w:val="22"/>
          <w:szCs w:val="22"/>
        </w:rPr>
        <w:t xml:space="preserve">The Gita’s most central teaching: act fully and with integrity, but release your grip on the result. Suffering comes not from difficulty but from the terror of an outcome we cannot control. The ‘easier wrong’ is almost always a flight from outcome-anxiety.</w:t>
      </w:r>
    </w:p>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This maps directly onto the app’s reflection architecture. Guided mode asks: What happened? What do I feel? What matters? These are process questions, not outcome questions. The app already leans Nishkama — it just hasn’t named the philosophy underneath.</w:t>
      </w:r>
    </w:p>
    <w:p>
      <w:pPr>
        <w:spacing w:before="60" w:after="80"/>
      </w:pPr>
      <w:r>
        <w:rPr>
          <w:rFonts w:ascii="Calibri" w:cs="Calibri" w:eastAsia="Calibri" w:hAnsi="Calibri"/>
          <w:color w:val="4A4A4A"/>
          <w:sz w:val="22"/>
          <w:szCs w:val="22"/>
        </w:rPr>
        <w:t xml:space="preserve"/>
      </w:r>
    </w:p>
    <w:p>
      <w:pPr>
        <w:spacing w:before="180" w:after="80"/>
      </w:pPr>
      <w:r>
        <w:rPr>
          <w:rFonts w:ascii="Georgia" w:cs="Georgia" w:eastAsia="Georgia" w:hAnsi="Georgia"/>
          <w:b/>
          <w:bCs/>
          <w:color w:val="2C1810"/>
          <w:sz w:val="22"/>
          <w:szCs w:val="22"/>
        </w:rPr>
        <w:t xml:space="preserve">Where this lives in the app today:</w:t>
      </w:r>
    </w:p>
    <w:p>
      <w:pPr>
        <w:pStyle w:val="ListParagraph"/>
        <w:numPr>
          <w:ilvl w:val="0"/>
          <w:numId w:val="2"/>
        </w:numPr>
        <w:spacing w:before="40" w:after="40"/>
      </w:pPr>
      <w:r>
        <w:rPr>
          <w:rFonts w:ascii="Calibri" w:cs="Calibri" w:eastAsia="Calibri" w:hAnsi="Calibri"/>
          <w:color w:val="4A4A4A"/>
          <w:sz w:val="22"/>
          <w:szCs w:val="22"/>
        </w:rPr>
        <w:t xml:space="preserve">The Intention field in Guided mode — asks what the user intends. This is the action side.</w:t>
      </w:r>
    </w:p>
    <w:p>
      <w:pPr>
        <w:pStyle w:val="ListParagraph"/>
        <w:numPr>
          <w:ilvl w:val="0"/>
          <w:numId w:val="2"/>
        </w:numPr>
        <w:spacing w:before="40" w:after="40"/>
      </w:pPr>
      <w:r>
        <w:rPr>
          <w:rFonts w:ascii="Calibri" w:cs="Calibri" w:eastAsia="Calibri" w:hAnsi="Calibri"/>
          <w:color w:val="4A4A4A"/>
          <w:sz w:val="22"/>
          <w:szCs w:val="22"/>
        </w:rPr>
        <w:t xml:space="preserve">The one-word closing field — past-facing, observational. This is the release side.</w:t>
      </w:r>
    </w:p>
    <w:p>
      <w:pPr>
        <w:pStyle w:val="ListParagraph"/>
        <w:numPr>
          <w:ilvl w:val="0"/>
          <w:numId w:val="2"/>
        </w:numPr>
        <w:spacing w:before="40" w:after="40"/>
      </w:pPr>
      <w:r>
        <w:rPr>
          <w:rFonts w:ascii="Calibri" w:cs="Calibri" w:eastAsia="Calibri" w:hAnsi="Calibri"/>
          <w:color w:val="4A4A4A"/>
          <w:sz w:val="22"/>
          <w:szCs w:val="22"/>
        </w:rPr>
        <w:t xml:space="preserve">The Closing Moment — already philosophically aligned (‘The story continues.’ ‘Here. Now. Remembered.’)</w:t>
      </w:r>
    </w:p>
    <w:p>
      <w:pPr>
        <w:spacing w:before="60" w:after="80"/>
      </w:pPr>
      <w:r>
        <w:rPr>
          <w:rFonts w:ascii="Calibri" w:cs="Calibri" w:eastAsia="Calibri" w:hAnsi="Calibri"/>
          <w:color w:val="4A4A4A"/>
          <w:sz w:val="22"/>
          <w:szCs w:val="22"/>
        </w:rPr>
        <w:t xml:space="preserve"/>
      </w:r>
    </w:p>
    <w:p>
      <w:pPr>
        <w:spacing w:before="180" w:after="80"/>
      </w:pPr>
      <w:r>
        <w:rPr>
          <w:rFonts w:ascii="Georgia" w:cs="Georgia" w:eastAsia="Georgia" w:hAnsi="Georgia"/>
          <w:b/>
          <w:bCs/>
          <w:color w:val="2C1810"/>
          <w:sz w:val="22"/>
          <w:szCs w:val="22"/>
        </w:rPr>
        <w:t xml:space="preserve">What could be added:</w:t>
      </w:r>
    </w:p>
    <w:p>
      <w:pPr>
        <w:pStyle w:val="ListParagraph"/>
        <w:numPr>
          <w:ilvl w:val="0"/>
          <w:numId w:val="2"/>
        </w:numPr>
        <w:spacing w:before="40" w:after="40"/>
      </w:pPr>
      <w:r>
        <w:rPr>
          <w:rFonts w:ascii="Calibri" w:cs="Calibri" w:eastAsia="Calibri" w:hAnsi="Calibri"/>
          <w:color w:val="4A4A4A"/>
          <w:sz w:val="22"/>
          <w:szCs w:val="22"/>
        </w:rPr>
        <w:t xml:space="preserve">A rotating prompt variant in Guided mode: ‘If the outcome were completely out of your hands, what would the right action have been today?’</w:t>
      </w:r>
    </w:p>
    <w:p>
      <w:pPr>
        <w:pStyle w:val="ListParagraph"/>
        <w:numPr>
          <w:ilvl w:val="0"/>
          <w:numId w:val="2"/>
        </w:numPr>
        <w:spacing w:before="40" w:after="40"/>
      </w:pPr>
      <w:r>
        <w:rPr>
          <w:rFonts w:ascii="Calibri" w:cs="Calibri" w:eastAsia="Calibri" w:hAnsi="Calibri"/>
          <w:color w:val="4A4A4A"/>
          <w:sz w:val="22"/>
          <w:szCs w:val="22"/>
        </w:rPr>
        <w:t xml:space="preserve">Split the Intention field: ‘what I intend to do’ and ‘what I am releasing attachment to’ — the Nishkama structure made visible without naming it.</w:t>
      </w:r>
    </w:p>
    <w:p>
      <w:pPr>
        <w:pBdr>
          <w:bottom w:val="single" w:color="D4C5A9" w:sz="4" w:space="1"/>
        </w:pBdr>
        <w:spacing w:before="200" w:after="200"/>
      </w:pPr>
    </w:p>
    <w:p>
      <w:pPr>
        <w:spacing w:before="280" w:after="120"/>
      </w:pPr>
      <w:r>
        <w:rPr>
          <w:rFonts w:ascii="Georgia" w:cs="Georgia" w:eastAsia="Georgia" w:hAnsi="Georgia"/>
          <w:b/>
          <w:bCs/>
          <w:color w:val="C17F24"/>
          <w:sz w:val="26"/>
          <w:szCs w:val="26"/>
        </w:rPr>
        <w:t xml:space="preserve">2. Sthitaprajna — Steady Wisdom</w:t>
      </w:r>
    </w:p>
    <w:p>
      <w:pPr>
        <w:spacing w:before="60" w:after="80"/>
      </w:pPr>
      <w:r>
        <w:rPr>
          <w:rFonts w:ascii="Calibri" w:cs="Calibri" w:eastAsia="Calibri" w:hAnsi="Calibri"/>
          <w:color w:val="4A4A4A"/>
          <w:sz w:val="22"/>
          <w:szCs w:val="22"/>
        </w:rPr>
        <w:t xml:space="preserve">The Gita describes the person of steady wisdom as unshaken by sorrow, unattracted by happiness, free from fear and anger. This is not emotional flatness — it is a rooted equanimity from which clear action becomes possible.</w:t>
      </w:r>
    </w:p>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The app tracks mood and energy as points in time. The Sthitaprajna lens adds a third question: not just ‘how did I feel?’ but ‘how did I hold myself when feeling that?’</w:t>
      </w:r>
    </w:p>
    <w:p>
      <w:pPr>
        <w:spacing w:before="60" w:after="80"/>
      </w:pPr>
      <w:r>
        <w:rPr>
          <w:rFonts w:ascii="Calibri" w:cs="Calibri" w:eastAsia="Calibri" w:hAnsi="Calibri"/>
          <w:color w:val="4A4A4A"/>
          <w:sz w:val="22"/>
          <w:szCs w:val="22"/>
        </w:rPr>
        <w:t xml:space="preserve"/>
      </w:r>
    </w:p>
    <w:p>
      <w:pPr>
        <w:spacing w:before="180" w:after="80"/>
      </w:pPr>
      <w:r>
        <w:rPr>
          <w:rFonts w:ascii="Georgia" w:cs="Georgia" w:eastAsia="Georgia" w:hAnsi="Georgia"/>
          <w:b/>
          <w:bCs/>
          <w:color w:val="2C1810"/>
          <w:sz w:val="22"/>
          <w:szCs w:val="22"/>
        </w:rPr>
        <w:t xml:space="preserve">Where this lives in the app today:</w:t>
      </w:r>
    </w:p>
    <w:p>
      <w:pPr>
        <w:pStyle w:val="ListParagraph"/>
        <w:numPr>
          <w:ilvl w:val="0"/>
          <w:numId w:val="2"/>
        </w:numPr>
        <w:spacing w:before="40" w:after="40"/>
      </w:pPr>
      <w:r>
        <w:rPr>
          <w:rFonts w:ascii="Calibri" w:cs="Calibri" w:eastAsia="Calibri" w:hAnsi="Calibri"/>
          <w:color w:val="4A4A4A"/>
          <w:sz w:val="22"/>
          <w:szCs w:val="22"/>
        </w:rPr>
        <w:t xml:space="preserve">Mood + energy capture in Write mode</w:t>
      </w:r>
    </w:p>
    <w:p>
      <w:pPr>
        <w:pStyle w:val="ListParagraph"/>
        <w:numPr>
          <w:ilvl w:val="0"/>
          <w:numId w:val="2"/>
        </w:numPr>
        <w:spacing w:before="40" w:after="40"/>
      </w:pPr>
      <w:r>
        <w:rPr>
          <w:rFonts w:ascii="Calibri" w:cs="Calibri" w:eastAsia="Calibri" w:hAnsi="Calibri"/>
          <w:color w:val="4A4A4A"/>
          <w:sz w:val="22"/>
          <w:szCs w:val="22"/>
        </w:rPr>
        <w:t xml:space="preserve">The mood chart over time (MoodChart.tsx)</w:t>
      </w:r>
    </w:p>
    <w:p>
      <w:pPr>
        <w:pStyle w:val="ListParagraph"/>
        <w:numPr>
          <w:ilvl w:val="0"/>
          <w:numId w:val="2"/>
        </w:numPr>
        <w:spacing w:before="40" w:after="40"/>
      </w:pPr>
      <w:r>
        <w:rPr>
          <w:rFonts w:ascii="Calibri" w:cs="Calibri" w:eastAsia="Calibri" w:hAnsi="Calibri"/>
          <w:color w:val="4A4A4A"/>
          <w:sz w:val="22"/>
          <w:szCs w:val="22"/>
        </w:rPr>
        <w:t xml:space="preserve">Year-in-numbers: ‘A mostly good year so far’ — already Witness-compliant language</w:t>
      </w:r>
    </w:p>
    <w:p>
      <w:pPr>
        <w:spacing w:before="60" w:after="80"/>
      </w:pPr>
      <w:r>
        <w:rPr>
          <w:rFonts w:ascii="Calibri" w:cs="Calibri" w:eastAsia="Calibri" w:hAnsi="Calibri"/>
          <w:color w:val="4A4A4A"/>
          <w:sz w:val="22"/>
          <w:szCs w:val="22"/>
        </w:rPr>
        <w:t xml:space="preserve"/>
      </w:r>
    </w:p>
    <w:p>
      <w:pPr>
        <w:spacing w:before="180" w:after="80"/>
      </w:pPr>
      <w:r>
        <w:rPr>
          <w:rFonts w:ascii="Georgia" w:cs="Georgia" w:eastAsia="Georgia" w:hAnsi="Georgia"/>
          <w:b/>
          <w:bCs/>
          <w:color w:val="2C1810"/>
          <w:sz w:val="22"/>
          <w:szCs w:val="22"/>
        </w:rPr>
        <w:t xml:space="preserve">What could be added:</w:t>
      </w:r>
    </w:p>
    <w:p>
      <w:pPr>
        <w:pStyle w:val="ListParagraph"/>
        <w:numPr>
          <w:ilvl w:val="0"/>
          <w:numId w:val="2"/>
        </w:numPr>
        <w:spacing w:before="40" w:after="40"/>
      </w:pPr>
      <w:r>
        <w:rPr>
          <w:rFonts w:ascii="Calibri" w:cs="Calibri" w:eastAsia="Calibri" w:hAnsi="Calibri"/>
          <w:color w:val="4A4A4A"/>
          <w:sz w:val="22"/>
          <w:szCs w:val="22"/>
        </w:rPr>
        <w:t xml:space="preserve">A third optional dimension in Write mode: ‘How steady was your mind today?’ — a 1-to-5 inner-steadiness indicator. Separate from mood (emotional colour) and energy (physical state). This captures mental ground.</w:t>
      </w:r>
    </w:p>
    <w:p>
      <w:pPr>
        <w:pStyle w:val="ListParagraph"/>
        <w:numPr>
          <w:ilvl w:val="0"/>
          <w:numId w:val="2"/>
        </w:numPr>
        <w:spacing w:before="40" w:after="40"/>
      </w:pPr>
      <w:r>
        <w:rPr>
          <w:rFonts w:ascii="Calibri" w:cs="Calibri" w:eastAsia="Calibri" w:hAnsi="Calibri"/>
          <w:color w:val="4A4A4A"/>
          <w:sz w:val="22"/>
          <w:szCs w:val="22"/>
        </w:rPr>
        <w:t xml:space="preserve">In Insights: a long-run Steadiness trend — does the user’s inner ground hold across volatile mood periods?</w:t>
      </w:r>
    </w:p>
    <w:p>
      <w:pPr>
        <w:pStyle w:val="ListParagraph"/>
        <w:numPr>
          <w:ilvl w:val="0"/>
          <w:numId w:val="2"/>
        </w:numPr>
        <w:spacing w:before="40" w:after="40"/>
      </w:pPr>
      <w:r>
        <w:rPr>
          <w:rFonts w:ascii="Calibri" w:cs="Calibri" w:eastAsia="Calibri" w:hAnsi="Calibri"/>
          <w:color w:val="4A4A4A"/>
          <w:sz w:val="22"/>
          <w:szCs w:val="22"/>
        </w:rPr>
        <w:t xml:space="preserve">On low-mood days, a Closing Moment variant: ‘The ground beneath you held.’</w:t>
      </w:r>
    </w:p>
    <w:p>
      <w:pPr>
        <w:pBdr>
          <w:bottom w:val="single" w:color="D4C5A9" w:sz="4" w:space="1"/>
        </w:pBdr>
        <w:spacing w:before="200" w:after="200"/>
      </w:pPr>
    </w:p>
    <w:p>
      <w:pPr>
        <w:spacing w:before="280" w:after="120"/>
      </w:pPr>
      <w:r>
        <w:rPr>
          <w:rFonts w:ascii="Georgia" w:cs="Georgia" w:eastAsia="Georgia" w:hAnsi="Georgia"/>
          <w:b/>
          <w:bCs/>
          <w:color w:val="C17F24"/>
          <w:sz w:val="26"/>
          <w:szCs w:val="26"/>
        </w:rPr>
        <w:t xml:space="preserve">3. The Three Gunas — A Richer Vocabulary for Inner States</w:t>
      </w:r>
    </w:p>
    <w:p>
      <w:pPr>
        <w:spacing w:before="60" w:after="80"/>
      </w:pPr>
      <w:r>
        <w:rPr>
          <w:rFonts w:ascii="Calibri" w:cs="Calibri" w:eastAsia="Calibri" w:hAnsi="Calibri"/>
          <w:color w:val="4A4A4A"/>
          <w:sz w:val="22"/>
          <w:szCs w:val="22"/>
        </w:rPr>
        <w:t xml:space="preserve">The Gita describes three qualities (Gunas) that colour all experience: Sattva (clarity, purpose, lightness), Rajas (drive, restlessness, anxiety), and Tamas (inertia, heaviness, avoidance). These are descriptive categories, not moral ones.</w:t>
      </w:r>
    </w:p>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The app’s mood system names the feeling. The Gunas name the quality of mind underneath the feeling. A user can feel sad from a Sattvic place (clear grief, not resistance) or from a Tamasic place (collapsed avoidance). These are completely different states the current system cannot distinguish.</w:t>
      </w:r>
    </w:p>
    <w:p>
      <w:pPr>
        <w:spacing w:before="60" w:after="80"/>
      </w:pPr>
      <w:r>
        <w:rPr>
          <w:rFonts w:ascii="Calibri" w:cs="Calibri" w:eastAsia="Calibri" w:hAnsi="Calibri"/>
          <w:color w:val="4A4A4A"/>
          <w:sz w:val="22"/>
          <w:szCs w:val="22"/>
        </w:rPr>
        <w:t xml:space="preserve"/>
      </w:r>
    </w:p>
    <w:p>
      <w:pPr>
        <w:spacing w:before="180" w:after="80"/>
      </w:pPr>
      <w:r>
        <w:rPr>
          <w:rFonts w:ascii="Georgia" w:cs="Georgia" w:eastAsia="Georgia" w:hAnsi="Georgia"/>
          <w:b/>
          <w:bCs/>
          <w:color w:val="2C1810"/>
          <w:sz w:val="22"/>
          <w:szCs w:val="22"/>
        </w:rPr>
        <w:t xml:space="preserve">Implementation — three-state sub-categorisation (no Sanskrit required):</w:t>
      </w:r>
    </w:p>
    <w:p>
      <w:pPr>
        <w:spacing w:before="60" w:after="80"/>
      </w:pPr>
      <w:r>
        <w:rPr>
          <w:rFonts w:ascii="Calibri" w:cs="Calibri" w:eastAsia="Calibri" w:hAnsi="Calibri"/>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Guna</w:t>
            </w:r>
          </w:p>
        </w:tc>
        <w:tc>
          <w:tcPr>
            <w:tcW w:type="dxa" w:w="358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In plain language (app copy)</w:t>
            </w:r>
          </w:p>
        </w:tc>
        <w:tc>
          <w:tcPr>
            <w:tcW w:type="dxa" w:w="358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What it reveals</w:t>
            </w:r>
          </w:p>
        </w:tc>
      </w:tr>
      <w:tr>
        <w:tc>
          <w:tcPr>
            <w:tcW w:type="dxa" w:w="22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Sattva</w:t>
            </w:r>
          </w:p>
        </w:tc>
        <w:tc>
          <w:tcPr>
            <w:tcW w:type="dxa" w:w="35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Clear · Purposeful · Grounded</w:t>
            </w:r>
          </w:p>
        </w:tc>
        <w:tc>
          <w:tcPr>
            <w:tcW w:type="dxa" w:w="35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Entries from here form the ‘best self’ memory pool</w:t>
            </w:r>
          </w:p>
        </w:tc>
      </w:tr>
      <w:tr>
        <w:tc>
          <w:tcPr>
            <w:tcW w:type="dxa" w:w="22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Rajas</w:t>
            </w:r>
          </w:p>
        </w:tc>
        <w:tc>
          <w:tcPr>
            <w:tcW w:type="dxa" w:w="35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Driven · Restless · Anxious</w:t>
            </w:r>
          </w:p>
        </w:tc>
        <w:tc>
          <w:tcPr>
            <w:tcW w:type="dxa" w:w="35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Entries often carry unresolved desire or fear</w:t>
            </w:r>
          </w:p>
        </w:tc>
      </w:tr>
      <w:tr>
        <w:tc>
          <w:tcPr>
            <w:tcW w:type="dxa" w:w="22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Tamas</w:t>
            </w:r>
          </w:p>
        </w:tc>
        <w:tc>
          <w:tcPr>
            <w:tcW w:type="dxa" w:w="35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Heavy · Stuck · Avoidant</w:t>
            </w:r>
          </w:p>
        </w:tc>
        <w:tc>
          <w:tcPr>
            <w:tcW w:type="dxa" w:w="35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Entries reveal where the ‘easier wrong’ lives</w:t>
            </w:r>
          </w:p>
        </w:tc>
      </w:tr>
    </w:tbl>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After selecting mood, an optional secondary tap: ‘How did your mind feel underneath?’ with three soft options. The app maps these internally without using Sanskrit terminology.</w:t>
      </w:r>
    </w:p>
    <w:p>
      <w:pPr>
        <w:spacing w:before="60" w:after="80"/>
      </w:pPr>
      <w:r>
        <w:rPr>
          <w:rFonts w:ascii="Calibri" w:cs="Calibri" w:eastAsia="Calibri" w:hAnsi="Calibri"/>
          <w:color w:val="4A4A4A"/>
          <w:sz w:val="22"/>
          <w:szCs w:val="22"/>
        </w:rPr>
        <w:t xml:space="preserve"/>
      </w:r>
    </w:p>
    <w:p>
      <w:pPr>
        <w:spacing w:before="180" w:after="80"/>
      </w:pPr>
      <w:r>
        <w:rPr>
          <w:rFonts w:ascii="Georgia" w:cs="Georgia" w:eastAsia="Georgia" w:hAnsi="Georgia"/>
          <w:b/>
          <w:bCs/>
          <w:color w:val="2C1810"/>
          <w:sz w:val="22"/>
          <w:szCs w:val="22"/>
        </w:rPr>
        <w:t xml:space="preserve">What this unlocks:</w:t>
      </w:r>
    </w:p>
    <w:p>
      <w:pPr>
        <w:pStyle w:val="ListParagraph"/>
        <w:numPr>
          <w:ilvl w:val="0"/>
          <w:numId w:val="2"/>
        </w:numPr>
        <w:spacing w:before="40" w:after="40"/>
      </w:pPr>
      <w:r>
        <w:rPr>
          <w:rFonts w:ascii="Calibri" w:cs="Calibri" w:eastAsia="Calibri" w:hAnsi="Calibri"/>
          <w:color w:val="4A4A4A"/>
          <w:sz w:val="22"/>
          <w:szCs w:val="22"/>
        </w:rPr>
        <w:t xml:space="preserve">Tag Sattvic-state entries. Over time: ‘You’ve written from your clearest mind 12 times this year. Here are those moments.’ A Memory Thread built from quality of mind, not topic.</w:t>
      </w:r>
    </w:p>
    <w:p>
      <w:pPr>
        <w:pStyle w:val="ListParagraph"/>
        <w:numPr>
          <w:ilvl w:val="0"/>
          <w:numId w:val="2"/>
        </w:numPr>
        <w:spacing w:before="40" w:after="40"/>
      </w:pPr>
      <w:r>
        <w:rPr>
          <w:rFonts w:ascii="Calibri" w:cs="Calibri" w:eastAsia="Calibri" w:hAnsi="Calibri"/>
          <w:color w:val="4A4A4A"/>
          <w:sz w:val="22"/>
          <w:szCs w:val="22"/>
        </w:rPr>
        <w:t xml:space="preserve">In Insights: a visualisation of inner-state distribution over time. Not a score — a landscape. Pattern recognition without judgment.</w:t>
      </w:r>
    </w:p>
    <w:p>
      <w:pPr>
        <w:pStyle w:val="ListParagraph"/>
        <w:numPr>
          <w:ilvl w:val="0"/>
          <w:numId w:val="2"/>
        </w:numPr>
        <w:spacing w:before="40" w:after="40"/>
      </w:pPr>
      <w:r>
        <w:rPr>
          <w:rFonts w:ascii="Calibri" w:cs="Calibri" w:eastAsia="Calibri" w:hAnsi="Calibri"/>
          <w:color w:val="4A4A4A"/>
          <w:sz w:val="22"/>
          <w:szCs w:val="22"/>
        </w:rPr>
        <w:t xml:space="preserve">In the Intentions Loop: when an intention was not met — ‘What state of mind were you in when you set this?’ Redirects toward self-understanding rather than self-blame.</w:t>
      </w:r>
    </w:p>
    <w:p>
      <w:pPr>
        <w:pBdr>
          <w:bottom w:val="single" w:color="D4C5A9" w:sz="4" w:space="1"/>
        </w:pBdr>
        <w:spacing w:before="200" w:after="200"/>
      </w:pPr>
    </w:p>
    <w:p>
      <w:pPr>
        <w:spacing w:before="280" w:after="120"/>
      </w:pPr>
      <w:r>
        <w:rPr>
          <w:rFonts w:ascii="Georgia" w:cs="Georgia" w:eastAsia="Georgia" w:hAnsi="Georgia"/>
          <w:b/>
          <w:bCs/>
          <w:color w:val="C17F24"/>
          <w:sz w:val="26"/>
          <w:szCs w:val="26"/>
        </w:rPr>
        <w:t xml:space="preserve">4. The Karma of Inaction — Avoidance Is Also a Choice</w:t>
      </w:r>
    </w:p>
    <w:p>
      <w:pPr>
        <w:spacing w:before="60" w:after="80"/>
      </w:pPr>
      <w:r>
        <w:rPr>
          <w:rFonts w:ascii="Calibri" w:cs="Calibri" w:eastAsia="Calibri" w:hAnsi="Calibri"/>
          <w:color w:val="4A4A4A"/>
          <w:sz w:val="22"/>
          <w:szCs w:val="22"/>
        </w:rPr>
        <w:t xml:space="preserve">The Gita makes a striking observation: inaction is not neutral. Choosing not to act when action is required is itself an active choice — usually a Tamasic one. ‘He who sees inaction in action, and action in inaction, is wise.’</w:t>
      </w:r>
    </w:p>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This maps directly onto the Intentions Loop. When an intention goes unmet, the current design reframes without judgment. The Gita adds precision: the question is not ‘did I fail?’ but ‘what made inaction feel like the safe option?’ That is a Witness question, not a Manager question.</w:t>
      </w:r>
    </w:p>
    <w:p>
      <w:pPr>
        <w:spacing w:before="60" w:after="80"/>
      </w:pPr>
      <w:r>
        <w:rPr>
          <w:rFonts w:ascii="Calibri" w:cs="Calibri" w:eastAsia="Calibri" w:hAnsi="Calibri"/>
          <w:color w:val="4A4A4A"/>
          <w:sz w:val="22"/>
          <w:szCs w:val="22"/>
        </w:rPr>
        <w:t xml:space="preserve"/>
      </w:r>
    </w:p>
    <w:p>
      <w:pPr>
        <w:spacing w:before="180" w:after="80"/>
      </w:pPr>
      <w:r>
        <w:rPr>
          <w:rFonts w:ascii="Georgia" w:cs="Georgia" w:eastAsia="Georgia" w:hAnsi="Georgia"/>
          <w:b/>
          <w:bCs/>
          <w:color w:val="2C1810"/>
          <w:sz w:val="22"/>
          <w:szCs w:val="22"/>
        </w:rPr>
        <w:t xml:space="preserve">What could be added:</w:t>
      </w:r>
    </w:p>
    <w:p>
      <w:pPr>
        <w:pStyle w:val="ListParagraph"/>
        <w:numPr>
          <w:ilvl w:val="0"/>
          <w:numId w:val="2"/>
        </w:numPr>
        <w:spacing w:before="40" w:after="40"/>
      </w:pPr>
      <w:r>
        <w:rPr>
          <w:rFonts w:ascii="Calibri" w:cs="Calibri" w:eastAsia="Calibri" w:hAnsi="Calibri"/>
          <w:color w:val="4A4A4A"/>
          <w:sz w:val="22"/>
          <w:szCs w:val="22"/>
        </w:rPr>
        <w:t xml:space="preserve">A daily prompt variant: ‘Is there something I’ve been calling waiting or not the right time that is actually a choice not to act?’</w:t>
      </w:r>
    </w:p>
    <w:p>
      <w:pPr>
        <w:pStyle w:val="ListParagraph"/>
        <w:numPr>
          <w:ilvl w:val="0"/>
          <w:numId w:val="2"/>
        </w:numPr>
        <w:spacing w:before="40" w:after="40"/>
      </w:pPr>
      <w:r>
        <w:rPr>
          <w:rFonts w:ascii="Calibri" w:cs="Calibri" w:eastAsia="Calibri" w:hAnsi="Calibri"/>
          <w:color w:val="4A4A4A"/>
          <w:sz w:val="22"/>
          <w:szCs w:val="22"/>
        </w:rPr>
        <w:t xml:space="preserve">In the Intentions Loop, when an intention is carried forward 3+ weeks: ‘This intention has stayed with you a while. What would it take to either act on it or release it?’</w:t>
      </w:r>
    </w:p>
    <w:p>
      <w:pPr>
        <w:pStyle w:val="ListParagraph"/>
        <w:numPr>
          <w:ilvl w:val="0"/>
          <w:numId w:val="2"/>
        </w:numPr>
        <w:spacing w:before="40" w:after="40"/>
      </w:pPr>
      <w:r>
        <w:rPr>
          <w:rFonts w:ascii="Calibri" w:cs="Calibri" w:eastAsia="Calibri" w:hAnsi="Calibri"/>
          <w:color w:val="4A4A4A"/>
          <w:sz w:val="22"/>
          <w:szCs w:val="22"/>
        </w:rPr>
        <w:t xml:space="preserve">In Persistent Questions (questions.tsx): a new category called Deferred — questions the user has been not-answering. Unanswered questions are also a form of inaction.</w:t>
      </w:r>
    </w:p>
    <w:p>
      <w:pPr>
        <w:pBdr>
          <w:bottom w:val="single" w:color="D4C5A9" w:sz="4" w:space="1"/>
        </w:pBdr>
        <w:spacing w:before="200" w:after="200"/>
      </w:pPr>
    </w:p>
    <w:p>
      <w:pPr>
        <w:spacing w:before="280" w:after="120"/>
      </w:pPr>
      <w:r>
        <w:rPr>
          <w:rFonts w:ascii="Georgia" w:cs="Georgia" w:eastAsia="Georgia" w:hAnsi="Georgia"/>
          <w:b/>
          <w:bCs/>
          <w:color w:val="C17F24"/>
          <w:sz w:val="26"/>
          <w:szCs w:val="26"/>
        </w:rPr>
        <w:t xml:space="preserve">5. Vairagya — Detachment as Liberation, Not Apathy</w:t>
      </w:r>
    </w:p>
    <w:p>
      <w:pPr>
        <w:spacing w:before="60" w:after="80"/>
      </w:pPr>
      <w:r>
        <w:rPr>
          <w:rFonts w:ascii="Calibri" w:cs="Calibri" w:eastAsia="Calibri" w:hAnsi="Calibri"/>
          <w:color w:val="4A4A4A"/>
          <w:sz w:val="22"/>
          <w:szCs w:val="22"/>
        </w:rPr>
        <w:t xml:space="preserve">Vairagya is not withdrawal from life. It is full engagement without entanglement. Relinquishing anxiety over outcomes is not resignation — it is what makes clear action possible.</w:t>
      </w:r>
    </w:p>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This is the most important teaching for the Monthly and Yearly reflection experience. Looking back at a month or year, the user can see clearly what they were attached to — and whether that attachment served or hindered them.</w:t>
      </w:r>
    </w:p>
    <w:p>
      <w:pPr>
        <w:spacing w:before="60" w:after="80"/>
      </w:pPr>
      <w:r>
        <w:rPr>
          <w:rFonts w:ascii="Calibri" w:cs="Calibri" w:eastAsia="Calibri" w:hAnsi="Calibri"/>
          <w:color w:val="4A4A4A"/>
          <w:sz w:val="22"/>
          <w:szCs w:val="22"/>
        </w:rPr>
        <w:t xml:space="preserve"/>
      </w:r>
    </w:p>
    <w:p>
      <w:pPr>
        <w:spacing w:before="180" w:after="80"/>
      </w:pPr>
      <w:r>
        <w:rPr>
          <w:rFonts w:ascii="Georgia" w:cs="Georgia" w:eastAsia="Georgia" w:hAnsi="Georgia"/>
          <w:b/>
          <w:bCs/>
          <w:color w:val="2C1810"/>
          <w:sz w:val="22"/>
          <w:szCs w:val="22"/>
        </w:rPr>
        <w:t xml:space="preserve">What could be added:</w:t>
      </w:r>
    </w:p>
    <w:p>
      <w:pPr>
        <w:pStyle w:val="ListParagraph"/>
        <w:numPr>
          <w:ilvl w:val="0"/>
          <w:numId w:val="2"/>
        </w:numPr>
        <w:spacing w:before="40" w:after="40"/>
      </w:pPr>
      <w:r>
        <w:rPr>
          <w:rFonts w:ascii="Calibri" w:cs="Calibri" w:eastAsia="Calibri" w:hAnsi="Calibri"/>
          <w:color w:val="4A4A4A"/>
          <w:sz w:val="22"/>
          <w:szCs w:val="22"/>
        </w:rPr>
        <w:t xml:space="preserve">In Monthly reflection: ‘What outcome did I hold too tightly this month that caused unnecessary suffering?’ and ‘Where did I act with full integrity, regardless of whether I was recognised for it?’</w:t>
      </w:r>
    </w:p>
    <w:p>
      <w:pPr>
        <w:pStyle w:val="ListParagraph"/>
        <w:numPr>
          <w:ilvl w:val="0"/>
          <w:numId w:val="2"/>
        </w:numPr>
        <w:spacing w:before="40" w:after="40"/>
      </w:pPr>
      <w:r>
        <w:rPr>
          <w:rFonts w:ascii="Calibri" w:cs="Calibri" w:eastAsia="Calibri" w:hAnsi="Calibri"/>
          <w:color w:val="4A4A4A"/>
          <w:sz w:val="22"/>
          <w:szCs w:val="22"/>
        </w:rPr>
        <w:t xml:space="preserve">In Yearly reflection: a ‘What I released’ field — past-facing, a full sentence. ‘What did I stop needing that I once thought I couldn’t live without?’</w:t>
      </w:r>
    </w:p>
    <w:p>
      <w:pPr>
        <w:pStyle w:val="ListParagraph"/>
        <w:numPr>
          <w:ilvl w:val="0"/>
          <w:numId w:val="2"/>
        </w:numPr>
        <w:spacing w:before="40" w:after="40"/>
      </w:pPr>
      <w:r>
        <w:rPr>
          <w:rFonts w:ascii="Calibri" w:cs="Calibri" w:eastAsia="Calibri" w:hAnsi="Calibri"/>
          <w:color w:val="4A4A4A"/>
          <w:sz w:val="22"/>
          <w:szCs w:val="22"/>
        </w:rPr>
        <w:t xml:space="preserve">In the Welcome Card: ‘Write without concern for how it sounds or what it achieves. Just witness the mind.’ — this single line encapsulates Vairagya for a new user.</w:t>
      </w:r>
    </w:p>
    <w:p>
      <w:pPr>
        <w:pBdr>
          <w:bottom w:val="single" w:color="D4C5A9" w:sz="4" w:space="1"/>
        </w:pBdr>
        <w:spacing w:before="200" w:after="200"/>
      </w:pPr>
    </w:p>
    <w:p>
      <w:r>
        <w:br w:type="page"/>
      </w:r>
    </w:p>
    <w:p>
      <w:pPr>
        <w:spacing w:before="400" w:after="180"/>
      </w:pPr>
      <w:r>
        <w:rPr>
          <w:rFonts w:ascii="Georgia" w:cs="Georgia" w:eastAsia="Georgia" w:hAnsi="Georgia"/>
          <w:b/>
          <w:bCs/>
          <w:color w:val="2C1810"/>
          <w:sz w:val="40"/>
          <w:szCs w:val="40"/>
        </w:rPr>
        <w:t xml:space="preserve">The Habit Builder Reframe</w:t>
      </w:r>
    </w:p>
    <w:p>
      <w:pPr>
        <w:spacing w:before="60" w:after="80"/>
      </w:pPr>
      <w:r>
        <w:rPr>
          <w:rFonts w:ascii="Calibri" w:cs="Calibri" w:eastAsia="Calibri" w:hAnsi="Calibri"/>
          <w:color w:val="4A4A4A"/>
          <w:sz w:val="22"/>
          <w:szCs w:val="22"/>
        </w:rPr>
        <w:t xml:space="preserve">The HabitBuilder already has the right philosophy: ‘Container for exploration, not a tracker for compliance.’ This is Nishkama Karma in practice. The BUILDLOG already uses the exact right frame without naming it.</w:t>
      </w:r>
    </w:p>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One specific change the Gita suggests: shift the language from accumulation to equanimity.</w:t>
      </w:r>
    </w:p>
    <w:p>
      <w:pPr>
        <w:spacing w:before="60" w:after="80"/>
      </w:pPr>
      <w:r>
        <w:rPr>
          <w:rFonts w:ascii="Calibri" w:cs="Calibri" w:eastAsia="Calibri" w:hAnsi="Calibri"/>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Element</w:t>
            </w:r>
          </w:p>
        </w:tc>
        <w:tc>
          <w:tcPr>
            <w:tcW w:type="dxa" w:w="348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Current language</w:t>
            </w:r>
          </w:p>
        </w:tc>
        <w:tc>
          <w:tcPr>
            <w:tcW w:type="dxa" w:w="348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Gita-informed alternative</w:t>
            </w:r>
          </w:p>
        </w:tc>
      </w:tr>
      <w:tr>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Progress frame</w:t>
            </w:r>
          </w:p>
        </w:tc>
        <w:tc>
          <w:tcPr>
            <w:tcW w:type="dxa" w:w="34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GentleStart</w:t>
            </w:r>
          </w:p>
        </w:tc>
        <w:tc>
          <w:tcPr>
            <w:tcW w:type="dxa" w:w="34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Steady State — equanimity of practice, not accumulation</w:t>
            </w:r>
          </w:p>
        </w:tc>
      </w:tr>
      <w:tr>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Day 21 celebration</w:t>
            </w:r>
          </w:p>
        </w:tc>
        <w:tc>
          <w:tcPr>
            <w:tcW w:type="dxa" w:w="34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Habit explored. What did you learn?</w:t>
            </w:r>
          </w:p>
        </w:tc>
        <w:tc>
          <w:tcPr>
            <w:tcW w:type="dxa" w:w="34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21 days held. What did the practice reveal?</w:t>
            </w:r>
          </w:p>
        </w:tc>
      </w:tr>
      <w:tr>
        <w:tc>
          <w:tcPr>
            <w:tcW w:type="dxa" w:w="24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Re-engagement after a gap</w:t>
            </w:r>
          </w:p>
        </w:tc>
        <w:tc>
          <w:tcPr>
            <w:tcW w:type="dxa" w:w="34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Not explicitly addressed</w:t>
            </w:r>
          </w:p>
        </w:tc>
        <w:tc>
          <w:tcPr>
            <w:tcW w:type="dxa" w:w="348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Returning is the practice. — one line, shown on re-engagement</w:t>
            </w:r>
          </w:p>
        </w:tc>
      </w:tr>
    </w:tbl>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These are micro-copy refinements, not structural changes. They shift the frame from accumulation to equanimity — the Gita’s distinction between Rajasic (attached to streak) and Sattvic (attachment-free) practice.</w:t>
      </w:r>
    </w:p>
    <w:p>
      <w:pPr>
        <w:pBdr>
          <w:bottom w:val="single" w:color="D4C5A9" w:sz="4" w:space="1"/>
        </w:pBdr>
        <w:spacing w:before="200" w:after="200"/>
      </w:pPr>
    </w:p>
    <w:p>
      <w:pPr>
        <w:spacing w:before="400" w:after="180"/>
      </w:pPr>
      <w:r>
        <w:rPr>
          <w:rFonts w:ascii="Georgia" w:cs="Georgia" w:eastAsia="Georgia" w:hAnsi="Georgia"/>
          <w:b/>
          <w:bCs/>
          <w:color w:val="2C1810"/>
          <w:sz w:val="40"/>
          <w:szCs w:val="40"/>
        </w:rPr>
        <w:t xml:space="preserve">New Prompt Pools — Ready for prompts-v2.ts</w:t>
      </w:r>
    </w:p>
    <w:p>
      <w:pPr>
        <w:spacing w:before="60" w:after="80"/>
      </w:pPr>
      <w:r>
        <w:rPr>
          <w:rFonts w:ascii="Calibri" w:cs="Calibri" w:eastAsia="Calibri" w:hAnsi="Calibri"/>
          <w:color w:val="4A4A4A"/>
          <w:sz w:val="22"/>
          <w:szCs w:val="22"/>
        </w:rPr>
        <w:t xml:space="preserve">None of these require the user to know the Gita. They are pure journaling prompts, written in plain language. Integrate as a named pool or distribute into the existing rotation by reflection type.</w:t>
      </w:r>
    </w:p>
    <w:p>
      <w:pPr>
        <w:spacing w:before="60" w:after="80"/>
      </w:pPr>
      <w:r>
        <w:rPr>
          <w:rFonts w:ascii="Calibri" w:cs="Calibri" w:eastAsia="Calibri" w:hAnsi="Calibri"/>
          <w:color w:val="4A4A4A"/>
          <w:sz w:val="22"/>
          <w:szCs w:val="22"/>
        </w:rPr>
        <w:t xml:space="preserve"/>
      </w:r>
    </w:p>
    <w:p>
      <w:pPr>
        <w:spacing w:before="280" w:after="120"/>
      </w:pPr>
      <w:r>
        <w:rPr>
          <w:rFonts w:ascii="Georgia" w:cs="Georgia" w:eastAsia="Georgia" w:hAnsi="Georgia"/>
          <w:b/>
          <w:bCs/>
          <w:color w:val="C17F24"/>
          <w:sz w:val="26"/>
          <w:szCs w:val="26"/>
        </w:rPr>
        <w:t xml:space="preserve">Daily Prompts</w:t>
      </w:r>
    </w:p>
    <w:p>
      <w:pPr>
        <w:pBdr>
          <w:left w:val="single" w:color="C17F24" w:sz="12" w:space="12"/>
        </w:pBdr>
        <w:spacing w:before="100" w:after="100"/>
        <w:ind w:left="720" w:right="360"/>
      </w:pPr>
      <w:r>
        <w:rPr>
          <w:rFonts w:ascii="Georgia" w:cs="Georgia" w:eastAsia="Georgia" w:hAnsi="Georgia"/>
          <w:i/>
          <w:iCs/>
          <w:color w:val="2C1810"/>
          <w:sz w:val="22"/>
          <w:szCs w:val="22"/>
        </w:rPr>
        <w:t xml:space="preserve">“Was my most difficult decision today made from a steady mind, or was it shadowed by a sudden desire for comfort or a flash of frustration?”</w:t>
      </w:r>
    </w:p>
    <w:p>
      <w:pPr>
        <w:pBdr>
          <w:left w:val="single" w:color="C17F24" w:sz="12" w:space="12"/>
        </w:pBdr>
        <w:spacing w:before="100" w:after="100"/>
        <w:ind w:left="720" w:right="360"/>
      </w:pPr>
      <w:r>
        <w:rPr>
          <w:rFonts w:ascii="Georgia" w:cs="Georgia" w:eastAsia="Georgia" w:hAnsi="Georgia"/>
          <w:i/>
          <w:iCs/>
          <w:color w:val="2C1810"/>
          <w:sz w:val="22"/>
          <w:szCs w:val="22"/>
        </w:rPr>
        <w:t xml:space="preserve">“Is there something I am calling ‘waiting’ or ‘not the right time’ that is actually a choice not to act?”</w:t>
      </w:r>
    </w:p>
    <w:p>
      <w:pPr>
        <w:pBdr>
          <w:left w:val="single" w:color="C17F24" w:sz="12" w:space="12"/>
        </w:pBdr>
        <w:spacing w:before="100" w:after="100"/>
        <w:ind w:left="720" w:right="360"/>
      </w:pPr>
      <w:r>
        <w:rPr>
          <w:rFonts w:ascii="Georgia" w:cs="Georgia" w:eastAsia="Georgia" w:hAnsi="Georgia"/>
          <w:i/>
          <w:iCs/>
          <w:color w:val="2C1810"/>
          <w:sz w:val="22"/>
          <w:szCs w:val="22"/>
        </w:rPr>
        <w:t xml:space="preserve">“If the outcome were completely out of my hands, what would the right action have been today?”</w:t>
      </w:r>
    </w:p>
    <w:p>
      <w:pPr>
        <w:pBdr>
          <w:left w:val="single" w:color="C17F24" w:sz="12" w:space="12"/>
        </w:pBdr>
        <w:spacing w:before="100" w:after="100"/>
        <w:ind w:left="720" w:right="360"/>
      </w:pPr>
      <w:r>
        <w:rPr>
          <w:rFonts w:ascii="Georgia" w:cs="Georgia" w:eastAsia="Georgia" w:hAnsi="Georgia"/>
          <w:i/>
          <w:iCs/>
          <w:color w:val="2C1810"/>
          <w:sz w:val="22"/>
          <w:szCs w:val="22"/>
        </w:rPr>
        <w:t xml:space="preserve">“What immediate comfort am I willing to relinquish for long-term clarity?”</w:t>
      </w:r>
    </w:p>
    <w:p>
      <w:pPr>
        <w:pBdr>
          <w:left w:val="single" w:color="C17F24" w:sz="12" w:space="12"/>
        </w:pBdr>
        <w:spacing w:before="100" w:after="100"/>
        <w:ind w:left="720" w:right="360"/>
      </w:pPr>
      <w:r>
        <w:rPr>
          <w:rFonts w:ascii="Georgia" w:cs="Georgia" w:eastAsia="Georgia" w:hAnsi="Georgia"/>
          <w:i/>
          <w:iCs/>
          <w:color w:val="2C1810"/>
          <w:sz w:val="22"/>
          <w:szCs w:val="22"/>
        </w:rPr>
        <w:t xml:space="preserve">“Am I avoiding this because it feels genuinely wrong — or because of the discomfort it requires?”</w:t>
      </w:r>
    </w:p>
    <w:p>
      <w:pPr>
        <w:spacing w:before="60" w:after="80"/>
      </w:pPr>
      <w:r>
        <w:rPr>
          <w:rFonts w:ascii="Calibri" w:cs="Calibri" w:eastAsia="Calibri" w:hAnsi="Calibri"/>
          <w:color w:val="4A4A4A"/>
          <w:sz w:val="22"/>
          <w:szCs w:val="22"/>
        </w:rPr>
        <w:t xml:space="preserve"/>
      </w:r>
    </w:p>
    <w:p>
      <w:pPr>
        <w:spacing w:before="280" w:after="120"/>
      </w:pPr>
      <w:r>
        <w:rPr>
          <w:rFonts w:ascii="Georgia" w:cs="Georgia" w:eastAsia="Georgia" w:hAnsi="Georgia"/>
          <w:b/>
          <w:bCs/>
          <w:color w:val="C17F24"/>
          <w:sz w:val="26"/>
          <w:szCs w:val="26"/>
        </w:rPr>
        <w:t xml:space="preserve">Weekly Reflection Prompts</w:t>
      </w:r>
    </w:p>
    <w:p>
      <w:pPr>
        <w:pBdr>
          <w:left w:val="single" w:color="C17F24" w:sz="12" w:space="12"/>
        </w:pBdr>
        <w:spacing w:before="100" w:after="100"/>
        <w:ind w:left="720" w:right="360"/>
      </w:pPr>
      <w:r>
        <w:rPr>
          <w:rFonts w:ascii="Georgia" w:cs="Georgia" w:eastAsia="Georgia" w:hAnsi="Georgia"/>
          <w:i/>
          <w:iCs/>
          <w:color w:val="2C1810"/>
          <w:sz w:val="22"/>
          <w:szCs w:val="22"/>
        </w:rPr>
        <w:t xml:space="preserve">“Where did I act with full integrity this week, regardless of whether I was praised or criticised?”</w:t>
      </w:r>
    </w:p>
    <w:p>
      <w:pPr>
        <w:pBdr>
          <w:left w:val="single" w:color="C17F24" w:sz="12" w:space="12"/>
        </w:pBdr>
        <w:spacing w:before="100" w:after="100"/>
        <w:ind w:left="720" w:right="360"/>
      </w:pPr>
      <w:r>
        <w:rPr>
          <w:rFonts w:ascii="Georgia" w:cs="Georgia" w:eastAsia="Georgia" w:hAnsi="Georgia"/>
          <w:i/>
          <w:iCs/>
          <w:color w:val="2C1810"/>
          <w:sz w:val="22"/>
          <w:szCs w:val="22"/>
        </w:rPr>
        <w:t xml:space="preserve">“Where did I let the fear of an outcome dictate my choices, instead of focusing on the right action?”</w:t>
      </w:r>
    </w:p>
    <w:p>
      <w:pPr>
        <w:pBdr>
          <w:left w:val="single" w:color="C17F24" w:sz="12" w:space="12"/>
        </w:pBdr>
        <w:spacing w:before="100" w:after="100"/>
        <w:ind w:left="720" w:right="360"/>
      </w:pPr>
      <w:r>
        <w:rPr>
          <w:rFonts w:ascii="Georgia" w:cs="Georgia" w:eastAsia="Georgia" w:hAnsi="Georgia"/>
          <w:i/>
          <w:iCs/>
          <w:color w:val="2C1810"/>
          <w:sz w:val="22"/>
          <w:szCs w:val="22"/>
        </w:rPr>
        <w:t xml:space="preserve">“How steady was my foundation this week? Where did I lose my centre — and what pulled me back?”</w:t>
      </w:r>
    </w:p>
    <w:p>
      <w:pPr>
        <w:spacing w:before="60" w:after="80"/>
      </w:pPr>
      <w:r>
        <w:rPr>
          <w:rFonts w:ascii="Calibri" w:cs="Calibri" w:eastAsia="Calibri" w:hAnsi="Calibri"/>
          <w:color w:val="4A4A4A"/>
          <w:sz w:val="22"/>
          <w:szCs w:val="22"/>
        </w:rPr>
        <w:t xml:space="preserve"/>
      </w:r>
    </w:p>
    <w:p>
      <w:pPr>
        <w:spacing w:before="280" w:after="120"/>
      </w:pPr>
      <w:r>
        <w:rPr>
          <w:rFonts w:ascii="Georgia" w:cs="Georgia" w:eastAsia="Georgia" w:hAnsi="Georgia"/>
          <w:b/>
          <w:bCs/>
          <w:color w:val="C17F24"/>
          <w:sz w:val="26"/>
          <w:szCs w:val="26"/>
        </w:rPr>
        <w:t xml:space="preserve">Monthly Reflection Prompts</w:t>
      </w:r>
    </w:p>
    <w:p>
      <w:pPr>
        <w:pBdr>
          <w:left w:val="single" w:color="C17F24" w:sz="12" w:space="12"/>
        </w:pBdr>
        <w:spacing w:before="100" w:after="100"/>
        <w:ind w:left="720" w:right="360"/>
      </w:pPr>
      <w:r>
        <w:rPr>
          <w:rFonts w:ascii="Georgia" w:cs="Georgia" w:eastAsia="Georgia" w:hAnsi="Georgia"/>
          <w:i/>
          <w:iCs/>
          <w:color w:val="2C1810"/>
          <w:sz w:val="22"/>
          <w:szCs w:val="22"/>
        </w:rPr>
        <w:t xml:space="preserve">“What outcome did I hold too tightly this month that caused unnecessary suffering?”</w:t>
      </w:r>
    </w:p>
    <w:p>
      <w:pPr>
        <w:pBdr>
          <w:left w:val="single" w:color="C17F24" w:sz="12" w:space="12"/>
        </w:pBdr>
        <w:spacing w:before="100" w:after="100"/>
        <w:ind w:left="720" w:right="360"/>
      </w:pPr>
      <w:r>
        <w:rPr>
          <w:rFonts w:ascii="Georgia" w:cs="Georgia" w:eastAsia="Georgia" w:hAnsi="Georgia"/>
          <w:i/>
          <w:iCs/>
          <w:color w:val="2C1810"/>
          <w:sz w:val="22"/>
          <w:szCs w:val="22"/>
        </w:rPr>
        <w:t xml:space="preserve">“What is the most honest account of how I acted this month — not how I intended to act?”</w:t>
      </w:r>
    </w:p>
    <w:p>
      <w:pPr>
        <w:pBdr>
          <w:left w:val="single" w:color="C17F24" w:sz="12" w:space="12"/>
        </w:pBdr>
        <w:spacing w:before="100" w:after="100"/>
        <w:ind w:left="720" w:right="360"/>
      </w:pPr>
      <w:r>
        <w:rPr>
          <w:rFonts w:ascii="Georgia" w:cs="Georgia" w:eastAsia="Georgia" w:hAnsi="Georgia"/>
          <w:i/>
          <w:iCs/>
          <w:color w:val="2C1810"/>
          <w:sz w:val="22"/>
          <w:szCs w:val="22"/>
        </w:rPr>
        <w:t xml:space="preserve">“Where did inaction feel safer than the necessary step? What made it feel that way?”</w:t>
      </w:r>
    </w:p>
    <w:p>
      <w:pPr>
        <w:spacing w:before="60" w:after="80"/>
      </w:pPr>
      <w:r>
        <w:rPr>
          <w:rFonts w:ascii="Calibri" w:cs="Calibri" w:eastAsia="Calibri" w:hAnsi="Calibri"/>
          <w:color w:val="4A4A4A"/>
          <w:sz w:val="22"/>
          <w:szCs w:val="22"/>
        </w:rPr>
        <w:t xml:space="preserve"/>
      </w:r>
    </w:p>
    <w:p>
      <w:pPr>
        <w:spacing w:before="280" w:after="120"/>
      </w:pPr>
      <w:r>
        <w:rPr>
          <w:rFonts w:ascii="Georgia" w:cs="Georgia" w:eastAsia="Georgia" w:hAnsi="Georgia"/>
          <w:b/>
          <w:bCs/>
          <w:color w:val="C17F24"/>
          <w:sz w:val="26"/>
          <w:szCs w:val="26"/>
        </w:rPr>
        <w:t xml:space="preserve">Yearly Reflection Prompts</w:t>
      </w:r>
    </w:p>
    <w:p>
      <w:pPr>
        <w:pBdr>
          <w:left w:val="single" w:color="C17F24" w:sz="12" w:space="12"/>
        </w:pBdr>
        <w:spacing w:before="100" w:after="100"/>
        <w:ind w:left="720" w:right="360"/>
      </w:pPr>
      <w:r>
        <w:rPr>
          <w:rFonts w:ascii="Georgia" w:cs="Georgia" w:eastAsia="Georgia" w:hAnsi="Georgia"/>
          <w:i/>
          <w:iCs/>
          <w:color w:val="2C1810"/>
          <w:sz w:val="22"/>
          <w:szCs w:val="22"/>
        </w:rPr>
        <w:t xml:space="preserve">“What did I stop needing this year that I once thought I could not live without?”</w:t>
      </w:r>
    </w:p>
    <w:p>
      <w:pPr>
        <w:pBdr>
          <w:left w:val="single" w:color="C17F24" w:sz="12" w:space="12"/>
        </w:pBdr>
        <w:spacing w:before="100" w:after="100"/>
        <w:ind w:left="720" w:right="360"/>
      </w:pPr>
      <w:r>
        <w:rPr>
          <w:rFonts w:ascii="Georgia" w:cs="Georgia" w:eastAsia="Georgia" w:hAnsi="Georgia"/>
          <w:i/>
          <w:iCs/>
          <w:color w:val="2C1810"/>
          <w:sz w:val="22"/>
          <w:szCs w:val="22"/>
        </w:rPr>
        <w:t xml:space="preserve">“Where did I act from my clearest mind this year? What made those moments possible?”</w:t>
      </w:r>
    </w:p>
    <w:p>
      <w:pPr>
        <w:pBdr>
          <w:left w:val="single" w:color="C17F24" w:sz="12" w:space="12"/>
        </w:pBdr>
        <w:spacing w:before="100" w:after="100"/>
        <w:ind w:left="720" w:right="360"/>
      </w:pPr>
      <w:r>
        <w:rPr>
          <w:rFonts w:ascii="Georgia" w:cs="Georgia" w:eastAsia="Georgia" w:hAnsi="Georgia"/>
          <w:i/>
          <w:iCs/>
          <w:color w:val="2C1810"/>
          <w:sz w:val="22"/>
          <w:szCs w:val="22"/>
        </w:rPr>
        <w:t xml:space="preserve">“What question have I been not-answering? What would it take to answer it, or to release it?”</w:t>
      </w:r>
    </w:p>
    <w:p>
      <w:pPr>
        <w:pBdr>
          <w:bottom w:val="single" w:color="D4C5A9" w:sz="4" w:space="1"/>
        </w:pBdr>
        <w:spacing w:before="200" w:after="200"/>
      </w:pPr>
    </w:p>
    <w:p>
      <w:pPr>
        <w:spacing w:before="400" w:after="180"/>
      </w:pPr>
      <w:r>
        <w:rPr>
          <w:rFonts w:ascii="Georgia" w:cs="Georgia" w:eastAsia="Georgia" w:hAnsi="Georgia"/>
          <w:b/>
          <w:bCs/>
          <w:color w:val="2C1810"/>
          <w:sz w:val="40"/>
          <w:szCs w:val="40"/>
        </w:rPr>
        <w:t xml:space="preserve">What Does Not Fit — The Witness Test</w:t>
      </w:r>
    </w:p>
    <w:p>
      <w:pPr>
        <w:spacing w:before="60" w:after="80"/>
      </w:pPr>
      <w:r>
        <w:rPr>
          <w:rFonts w:ascii="Calibri" w:cs="Calibri" w:eastAsia="Calibri" w:hAnsi="Calibri"/>
          <w:color w:val="4A4A4A"/>
          <w:sz w:val="22"/>
          <w:szCs w:val="22"/>
        </w:rPr>
        <w:t xml:space="preserve">The Gita has teachings that are profound but incompatible with the Witness philosophy. These must not be implemented.</w:t>
      </w:r>
    </w:p>
    <w:p>
      <w:pPr>
        <w:spacing w:before="60" w:after="80"/>
      </w:pPr>
      <w:r>
        <w:rPr>
          <w:rFonts w:ascii="Calibri" w:cs="Calibri" w:eastAsia="Calibri" w:hAnsi="Calibri"/>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Gita Concept</w:t>
            </w:r>
          </w:p>
        </w:tc>
        <w:tc>
          <w:tcPr>
            <w:tcW w:type="dxa" w:w="280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The temptation</w:t>
            </w:r>
          </w:p>
        </w:tc>
        <w:tc>
          <w:tcPr>
            <w:tcW w:type="dxa" w:w="436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Why it violates Witness philosophy</w:t>
            </w:r>
          </w:p>
        </w:tc>
      </w:tr>
      <w:tr>
        <w:tc>
          <w:tcPr>
            <w:tcW w:type="dxa" w:w="22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Svadharma — life duty</w:t>
            </w:r>
          </w:p>
        </w:tc>
        <w:tc>
          <w:tcPr>
            <w:tcW w:type="dxa" w:w="28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Build a life purpose assessment</w:t>
            </w:r>
          </w:p>
        </w:tc>
        <w:tc>
          <w:tcPr>
            <w:tcW w:type="dxa" w:w="43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Duty is revealed through reflection, not assigned by the app. The Witness never categorises the user.</w:t>
            </w:r>
          </w:p>
        </w:tc>
      </w:tr>
      <w:tr>
        <w:tc>
          <w:tcPr>
            <w:tcW w:type="dxa" w:w="22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Guna typing</w:t>
            </w:r>
          </w:p>
        </w:tc>
        <w:tc>
          <w:tcPr>
            <w:tcW w:type="dxa" w:w="28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Classify users as Sattvic / Rajasic / Tamasic</w:t>
            </w:r>
          </w:p>
        </w:tc>
        <w:tc>
          <w:tcPr>
            <w:tcW w:type="dxa" w:w="43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Gunas describe states, not identities. Typing a person is a Manager move.</w:t>
            </w:r>
          </w:p>
        </w:tc>
      </w:tr>
      <w:tr>
        <w:tc>
          <w:tcPr>
            <w:tcW w:type="dxa" w:w="22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Karma scorecard</w:t>
            </w:r>
          </w:p>
        </w:tc>
        <w:tc>
          <w:tcPr>
            <w:tcW w:type="dxa" w:w="28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Moral consistency metric from entries</w:t>
            </w:r>
          </w:p>
        </w:tc>
        <w:tc>
          <w:tcPr>
            <w:tcW w:type="dxa" w:w="43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The app must never read entries. Any scoring from content violates the core privacy principle.</w:t>
            </w:r>
          </w:p>
        </w:tc>
      </w:tr>
      <w:tr>
        <w:tc>
          <w:tcPr>
            <w:tcW w:type="dxa" w:w="22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Detachment coaching</w:t>
            </w:r>
          </w:p>
        </w:tc>
        <w:tc>
          <w:tcPr>
            <w:tcW w:type="dxa" w:w="28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Push: You seem attached to outcomes</w:t>
            </w:r>
          </w:p>
        </w:tc>
        <w:tc>
          <w:tcPr>
            <w:tcW w:type="dxa" w:w="43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Notifications creating urgency are already Tier 3 — never build. The Witness observes; it never coaches unprompted.</w:t>
            </w:r>
          </w:p>
        </w:tc>
      </w:tr>
    </w:tbl>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The rule is unchanged: every Gita concept must pass the same Tier Test as every other feature. The philosophy gets no special exemption.</w:t>
      </w:r>
    </w:p>
    <w:p>
      <w:pPr>
        <w:pBdr>
          <w:bottom w:val="single" w:color="D4C5A9" w:sz="4" w:space="1"/>
        </w:pBdr>
        <w:spacing w:before="200" w:after="200"/>
      </w:pPr>
    </w:p>
    <w:p>
      <w:r>
        <w:br w:type="page"/>
      </w:r>
    </w:p>
    <w:p>
      <w:pPr>
        <w:spacing w:before="400" w:after="180"/>
      </w:pPr>
      <w:r>
        <w:rPr>
          <w:rFonts w:ascii="Georgia" w:cs="Georgia" w:eastAsia="Georgia" w:hAnsi="Georgia"/>
          <w:b/>
          <w:bCs/>
          <w:color w:val="2C1810"/>
          <w:sz w:val="40"/>
          <w:szCs w:val="40"/>
        </w:rPr>
        <w:t xml:space="preserve">Proposed Build Sessions</w:t>
      </w:r>
    </w:p>
    <w:p>
      <w:pPr>
        <w:spacing w:before="60" w:after="80"/>
      </w:pPr>
      <w:r>
        <w:rPr>
          <w:rFonts w:ascii="Calibri" w:cs="Calibri" w:eastAsia="Calibri" w:hAnsi="Calibri"/>
          <w:color w:val="4A4A4A"/>
          <w:sz w:val="22"/>
          <w:szCs w:val="22"/>
        </w:rPr>
        <w:t xml:space="preserve">These are proposals only. Each needs a brainstorm entry before code is written, per the Brainstorm-First Rule.</w:t>
      </w:r>
    </w:p>
    <w:p>
      <w:pPr>
        <w:spacing w:before="60" w:after="80"/>
      </w:pPr>
      <w:r>
        <w:rPr>
          <w:rFonts w:ascii="Calibri" w:cs="Calibri" w:eastAsia="Calibri" w:hAnsi="Calibri"/>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c>
          <w:tcPr>
            <w:tcW w:type="dxa" w:w="200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Session</w:t>
            </w:r>
          </w:p>
        </w:tc>
        <w:tc>
          <w:tcPr>
            <w:tcW w:type="dxa" w:w="220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Gita Teaching</w:t>
            </w:r>
          </w:p>
        </w:tc>
        <w:tc>
          <w:tcPr>
            <w:tcW w:type="dxa" w:w="316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What gets built</w:t>
            </w:r>
          </w:p>
        </w:tc>
        <w:tc>
          <w:tcPr>
            <w:tcW w:type="dxa" w:w="2000"/>
            <w:tcBorders>
              <w:top w:val="single" w:color="D4C5A9" w:sz="1"/>
              <w:left w:val="single" w:color="D4C5A9" w:sz="1"/>
              <w:bottom w:val="single" w:color="D4C5A9" w:sz="1"/>
              <w:right w:val="single" w:color="D4C5A9" w:sz="1"/>
            </w:tcBorders>
            <w:shd w:fill="F5EDD8" w:val="clear"/>
            <w:tcMar>
              <w:top w:type="dxa" w:w="80"/>
              <w:left w:type="dxa" w:w="120"/>
              <w:bottom w:type="dxa" w:w="80"/>
              <w:right w:type="dxa" w:w="120"/>
            </w:tcMar>
          </w:tcPr>
          <w:p>
            <w:r>
              <w:rPr>
                <w:rFonts w:ascii="Calibri" w:cs="Calibri" w:eastAsia="Calibri" w:hAnsi="Calibri"/>
                <w:b/>
                <w:bCs/>
                <w:color w:val="2C1810"/>
                <w:sz w:val="20"/>
                <w:szCs w:val="20"/>
              </w:rPr>
              <w:t xml:space="preserve">Primary day</w:t>
            </w:r>
          </w:p>
        </w:tc>
      </w:tr>
      <w:tr>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A8a — Prompts</w:t>
            </w:r>
          </w:p>
        </w:tc>
        <w:tc>
          <w:tcPr>
            <w:tcW w:type="dxa" w:w="22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Nishkama Karma, Vairagya</w:t>
            </w:r>
          </w:p>
        </w:tc>
        <w:tc>
          <w:tcPr>
            <w:tcW w:type="dxa" w:w="31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Gita-informed prompt pool added to prompts-v2.ts. Daily, weekly, monthly, yearly variants.</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Day 7+</w:t>
            </w:r>
          </w:p>
        </w:tc>
      </w:tr>
      <w:tr>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A8b — Inner State</w:t>
            </w:r>
          </w:p>
        </w:tc>
        <w:tc>
          <w:tcPr>
            <w:tcW w:type="dxa" w:w="22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Three Gunas</w:t>
            </w:r>
          </w:p>
        </w:tc>
        <w:tc>
          <w:tcPr>
            <w:tcW w:type="dxa" w:w="31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Third dimension added to mood capture: Clear / Restless / Heavy. Stored, visualised in Insights.</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Day 30+</w:t>
            </w:r>
          </w:p>
        </w:tc>
      </w:tr>
      <w:tr>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A9 — Reflection Polish</w:t>
            </w:r>
          </w:p>
        </w:tc>
        <w:tc>
          <w:tcPr>
            <w:tcW w:type="dxa" w:w="22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Vairagya, Inaction</w:t>
            </w:r>
          </w:p>
        </w:tc>
        <w:tc>
          <w:tcPr>
            <w:tcW w:type="dxa" w:w="31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What I released field in Yearly. Inaction pivot in Intentions Loop at 3+ weeks. Split Intention field.</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Day 30 / 365</w:t>
            </w:r>
          </w:p>
        </w:tc>
      </w:tr>
      <w:tr>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A10 — Habit Copy</w:t>
            </w:r>
          </w:p>
        </w:tc>
        <w:tc>
          <w:tcPr>
            <w:tcW w:type="dxa" w:w="22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Nishkama Karma</w:t>
            </w:r>
          </w:p>
        </w:tc>
        <w:tc>
          <w:tcPr>
            <w:tcW w:type="dxa" w:w="316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Steady State framing. Returning is the practice. Day-21 copy refresh.</w:t>
            </w:r>
          </w:p>
        </w:tc>
        <w:tc>
          <w:tcPr>
            <w:tcW w:type="dxa" w:w="2000"/>
            <w:tcBorders>
              <w:top w:val="single" w:color="D4C5A9" w:sz="1"/>
              <w:left w:val="single" w:color="D4C5A9" w:sz="1"/>
              <w:bottom w:val="single" w:color="D4C5A9" w:sz="1"/>
              <w:right w:val="single" w:color="D4C5A9" w:sz="1"/>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Day 7+</w:t>
            </w:r>
          </w:p>
        </w:tc>
      </w:tr>
    </w:tbl>
    <w:p>
      <w:pPr>
        <w:pBdr>
          <w:bottom w:val="single" w:color="D4C5A9" w:sz="4" w:space="1"/>
        </w:pBdr>
        <w:spacing w:before="200" w:after="200"/>
      </w:pPr>
    </w:p>
    <w:p>
      <w:pPr>
        <w:spacing w:before="400" w:after="180"/>
      </w:pPr>
      <w:r>
        <w:rPr>
          <w:rFonts w:ascii="Georgia" w:cs="Georgia" w:eastAsia="Georgia" w:hAnsi="Georgia"/>
          <w:b/>
          <w:bCs/>
          <w:color w:val="2C1810"/>
          <w:sz w:val="40"/>
          <w:szCs w:val="40"/>
        </w:rPr>
        <w:t xml:space="preserve">Closing Note</w:t>
      </w:r>
    </w:p>
    <w:p>
      <w:pPr>
        <w:spacing w:before="60" w:after="80"/>
      </w:pPr>
      <w:r>
        <w:rPr>
          <w:rFonts w:ascii="Calibri" w:cs="Calibri" w:eastAsia="Calibri" w:hAnsi="Calibri"/>
          <w:color w:val="4A4A4A"/>
          <w:sz w:val="22"/>
          <w:szCs w:val="22"/>
        </w:rPr>
        <w:t xml:space="preserve">The Gita does not ask Arjuna to be less human. It asks him to be more clear. Every teaching — Nishkama Karma, Sthitaprajna, the Gunas, the karma of inaction, Vairagya — is a tool for seeing the mind’s activity without being controlled by it.</w:t>
      </w:r>
    </w:p>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That is the Witness philosophy stated in Sanskrit, written 5,000 years ago.</w:t>
      </w:r>
    </w:p>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The app does not need to quote the Gita. It does not need to use any Sanskrit. What it can do is absorb the structural mechanics: the prompts, the reframes, the third dimension of inner state, the vocabulary for clarity vs restlessness vs inertia. These are not religious features. They are precision instruments for self-understanding.</w:t>
      </w:r>
    </w:p>
    <w:p>
      <w:pPr>
        <w:spacing w:before="60" w:after="80"/>
      </w:pPr>
      <w:r>
        <w:rPr>
          <w:rFonts w:ascii="Calibri" w:cs="Calibri" w:eastAsia="Calibri" w:hAnsi="Calibri"/>
          <w:color w:val="4A4A4A"/>
          <w:sz w:val="22"/>
          <w:szCs w:val="22"/>
        </w:rPr>
        <w:t xml:space="preserve"/>
      </w:r>
    </w:p>
    <w:p>
      <w:pPr>
        <w:spacing w:before="60" w:after="80"/>
      </w:pPr>
      <w:r>
        <w:rPr>
          <w:rFonts w:ascii="Calibri" w:cs="Calibri" w:eastAsia="Calibri" w:hAnsi="Calibri"/>
          <w:color w:val="4A4A4A"/>
          <w:sz w:val="22"/>
          <w:szCs w:val="22"/>
        </w:rPr>
        <w:t xml:space="preserve">The Witness holds the mirror. The Gita taught what to look for. This app is the mirror.</w:t>
      </w:r>
    </w:p>
    <w:p>
      <w:pPr>
        <w:spacing w:before="60" w:after="80"/>
      </w:pPr>
      <w:r>
        <w:rPr>
          <w:rFonts w:ascii="Calibri" w:cs="Calibri" w:eastAsia="Calibri" w:hAnsi="Calibri"/>
          <w:color w:val="4A4A4A"/>
          <w:sz w:val="22"/>
          <w:szCs w:val="22"/>
        </w:rPr>
        <w:t xml:space="preserve"/>
      </w:r>
    </w:p>
    <w:p>
      <w:pPr>
        <w:spacing w:before="240" w:after="0"/>
        <w:jc w:val="center"/>
      </w:pPr>
      <w:r>
        <w:rPr>
          <w:rFonts w:ascii="Georgia" w:cs="Georgia" w:eastAsia="Georgia" w:hAnsi="Georgia"/>
          <w:color w:val="C17F24"/>
          <w:sz w:val="32"/>
          <w:szCs w:val="3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2026-03-03T14:48:58.661Z</dcterms:created>
  <dcterms:modified xsi:type="dcterms:W3CDTF">2026-03-03T14:48:58.661Z</dcterms:modified>
</cp:coreProperties>
</file>

<file path=docProps/custom.xml><?xml version="1.0" encoding="utf-8"?>
<Properties xmlns="http://schemas.openxmlformats.org/officeDocument/2006/custom-properties" xmlns:vt="http://schemas.openxmlformats.org/officeDocument/2006/docPropsVTypes"/>
</file>