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pPr>
      <w:r>
        <w:t xml:space="preserve"/>
      </w:r>
    </w:p>
    <w:p>
      <w:pPr>
        <w:jc w:val="center"/>
      </w:pPr>
      <w:r>
        <w:rPr>
          <w:b/>
          <w:bCs/>
          <w:color w:val="1F4E79"/>
          <w:sz w:val="56"/>
          <w:szCs w:val="56"/>
        </w:rPr>
        <w:t xml:space="preserve">CREDIT RISK MODEL</w:t>
      </w:r>
    </w:p>
    <w:p>
      <w:pPr>
        <w:jc w:val="center"/>
      </w:pPr>
      <w:r>
        <w:rPr>
          <w:color w:val="2E74B5"/>
          <w:sz w:val="32"/>
          <w:szCs w:val="32"/>
        </w:rPr>
        <w:t xml:space="preserve">Research Blueprint &amp; Detailed Implementation Plan</w:t>
      </w:r>
    </w:p>
    <w:p>
      <w:pPr>
        <w:spacing w:before="120"/>
      </w:pPr>
      <w:r>
        <w:t xml:space="preserve"/>
      </w:r>
    </w:p>
    <w:p>
      <w:pPr>
        <w:pBdr>
          <w:top w:val="single" w:color="1F4E79" w:sz="6"/>
          <w:bottom w:val="single" w:color="1F4E79" w:sz="6"/>
        </w:pBdr>
        <w:spacing w:before="120" w:after="120"/>
        <w:jc w:val="center"/>
      </w:pPr>
      <w:r>
        <w:rPr>
          <w:b/>
          <w:bCs/>
          <w:color w:val="555555"/>
          <w:sz w:val="24"/>
          <w:szCs w:val="24"/>
        </w:rPr>
        <w:t xml:space="preserve">Phase 1: Base Model (Financial + Market)    |    Phase 2: ESG-Augmented Model</w:t>
      </w:r>
    </w:p>
    <w:p>
      <w:pPr>
        <w:spacing w:before="120"/>
      </w:pPr>
      <w:r>
        <w:t xml:space="preserve"/>
      </w:r>
    </w:p>
    <w:p>
      <w:pPr>
        <w:jc w:val="center"/>
      </w:pPr>
      <w:r>
        <w:rPr>
          <w:color w:val="888888"/>
          <w:sz w:val="22"/>
          <w:szCs w:val="22"/>
        </w:rPr>
        <w:t xml:space="preserve">Based on Peer-Reviewed Research (2020-2025)</w:t>
      </w:r>
    </w:p>
    <w:p>
      <w:r>
        <w:br w:type="page"/>
      </w:r>
    </w:p>
    <w:p>
      <w:pPr>
        <w:pStyle w:val="Heading1"/>
        <w:spacing w:before="360" w:after="180"/>
      </w:pPr>
      <w:r>
        <w:rPr>
          <w:b/>
          <w:bCs/>
          <w:color w:val="1F4E79"/>
          <w:sz w:val="32"/>
          <w:szCs w:val="32"/>
        </w:rPr>
        <w:t xml:space="preserve">1. PROJECT OVERVIEW &amp; DUAL-PHASE STRATEGY</w:t>
      </w:r>
    </w:p>
    <w:p>
      <w:pPr>
        <w:pBdr>
          <w:bottom w:val="single" w:color="1F4E79" w:sz="6" w:space="1"/>
        </w:pBdr>
        <w:spacing w:before="120" w:after="120"/>
      </w:pPr>
    </w:p>
    <w:p>
      <w:pPr>
        <w:spacing w:before="60"/>
      </w:pPr>
      <w:r>
        <w:t xml:space="preserve"/>
      </w:r>
    </w:p>
    <w:p>
      <w:pPr>
        <w:spacing w:before="60" w:after="60"/>
      </w:pPr>
      <w:r>
        <w:rPr>
          <w:sz w:val="22"/>
          <w:szCs w:val="22"/>
        </w:rPr>
        <w:t xml:space="preserve">This document provides a research-grounded, step-by-step master plan for building a best-in-class corporate credit risk model using your available dataset. The project is structured in two phases — first a base model without ESG, then an ESG-augmented version — so the incremental predictive power of sustainability factors can be scientifically measured.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Phase 1</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Base Credit Risk Model using Financial &amp; Market Variables only. Target: Probability of Default (PD) using Altman Z-Score as proxy target variable.</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Phase 2</w:t>
            </w:r>
          </w:p>
        </w:tc>
        <w:tc>
          <w:tcPr>
            <w:tcW w:type="dxa" w:w="7560"/>
            <w:tcBorders>
              <w:top w:val="single" w:color="1F4E79" w:sz="1"/>
              <w:left w:val="single" w:color="1F4E79" w:sz="1"/>
              <w:bottom w:val="single" w:color="1F4E79" w:sz="1"/>
              <w:right w:val="single" w:color="1F4E79" w:sz="1"/>
            </w:tcBorders>
            <w:shd w:fill="EBF3E8" w:val="clear"/>
            <w:tcMar>
              <w:top w:type="dxa" w:w="80"/>
              <w:left w:type="dxa" w:w="120"/>
              <w:bottom w:type="dxa" w:w="80"/>
              <w:right w:type="dxa" w:w="120"/>
            </w:tcMar>
          </w:tcPr>
          <w:p>
            <w:r>
              <w:rPr>
                <w:sz w:val="20"/>
                <w:szCs w:val="20"/>
              </w:rPr>
              <w:t xml:space="preserve">ESG-Augmented Credit Risk Model: Add GHG Scope 1, GHG Scope 3, CO2 Scope 1, % Women on Board as sustainability risk factors and compare AUC improvement.</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Research Goal</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Compare predictive power of Model 1 vs Model 2 using AUC-ROC, demonstrate ESG adds incremental value — this is publishable-quality research design.</w:t>
            </w:r>
          </w:p>
        </w:tc>
      </w:tr>
    </w:tbl>
    <w:p>
      <w:pPr>
        <w:spacing w:before="120"/>
      </w:pPr>
      <w:r>
        <w:t xml:space="preserve"/>
      </w:r>
    </w:p>
    <w:p>
      <w:pPr>
        <w:pStyle w:val="Heading2"/>
        <w:spacing w:before="240" w:after="120"/>
      </w:pPr>
      <w:r>
        <w:rPr>
          <w:b/>
          <w:bCs/>
          <w:color w:val="2E74B5"/>
          <w:sz w:val="26"/>
          <w:szCs w:val="26"/>
        </w:rPr>
        <w:t xml:space="preserve">1.1 Why This Two-Phase Design is Academically Superior</w:t>
      </w:r>
    </w:p>
    <w:p>
      <w:pPr>
        <w:spacing w:before="60" w:after="60"/>
      </w:pPr>
      <w:r>
        <w:rPr>
          <w:sz w:val="22"/>
          <w:szCs w:val="22"/>
        </w:rPr>
        <w:t xml:space="preserve">Academic justification for sequential model design: Wu &amp; Xie (2024) in Green Finance demonstrate that including ESG variables in default prediction models significantly improves accuracy. Comparing base vs. ESG-augmented models is the exact methodology used in the most-cited recent papers on ESG-credit risk integration. This design allows you to present a clear 'before and after' AUC comparison, which is what evaluators and reviewers expect.</w:t>
      </w:r>
    </w:p>
    <w:p>
      <w:pPr>
        <w:spacing w:before="30" w:after="30"/>
        <w:ind w:left="720"/>
      </w:pPr>
      <w:r>
        <w:rPr>
          <w:i/>
          <w:iCs/>
          <w:color w:val="555555"/>
          <w:sz w:val="20"/>
          <w:szCs w:val="20"/>
        </w:rPr>
        <w:t xml:space="preserve">Wu, M. &amp; Xie, D. (2024). The impact of ESG performance on the credit risk of listed companies in Shanghai and Shenzhen stock exchanges. Green Finance, 6(2), 199-218.</w:t>
      </w:r>
    </w:p>
    <w:p>
      <w:pPr>
        <w:spacing w:before="30" w:after="30"/>
        <w:ind w:left="720"/>
      </w:pPr>
      <w:r>
        <w:rPr>
          <w:i/>
          <w:iCs/>
          <w:color w:val="555555"/>
          <w:sz w:val="20"/>
          <w:szCs w:val="20"/>
        </w:rPr>
        <w:t xml:space="preserve">Liu, Z. et al. (2025). Prediction of corporate default risk considering ESG performance and unbalanced samples. Expert Systems with Applications.</w:t>
      </w:r>
    </w:p>
    <w:p>
      <w:pPr>
        <w:spacing w:before="120"/>
      </w:pPr>
      <w:r>
        <w:t xml:space="preserve"/>
      </w:r>
    </w:p>
    <w:p>
      <w:pPr>
        <w:pStyle w:val="Heading1"/>
        <w:spacing w:before="360" w:after="180"/>
      </w:pPr>
      <w:r>
        <w:rPr>
          <w:b/>
          <w:bCs/>
          <w:color w:val="1F4E79"/>
          <w:sz w:val="32"/>
          <w:szCs w:val="32"/>
        </w:rPr>
        <w:t xml:space="preserve">2. YOUR DATA FIELDS — CLASSIFICATION &amp; USAGE</w:t>
      </w:r>
    </w:p>
    <w:p>
      <w:pPr>
        <w:pBdr>
          <w:bottom w:val="single" w:color="1F4E79" w:sz="6" w:space="1"/>
        </w:pBdr>
        <w:spacing w:before="120" w:after="120"/>
      </w:pPr>
    </w:p>
    <w:p>
      <w:pPr>
        <w:spacing w:before="60"/>
      </w:pPr>
      <w:r>
        <w:t xml:space="preserve"/>
      </w:r>
    </w:p>
    <w:p>
      <w:pPr>
        <w:spacing w:before="60" w:after="60"/>
      </w:pPr>
      <w:r>
        <w:rPr>
          <w:sz w:val="22"/>
          <w:szCs w:val="22"/>
        </w:rPr>
        <w:t xml:space="preserve">All your available data fields have been classified below. Each field is assigned to either Phase 1 (base model), Phase 2 (ESG augmentation), or both.</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Field</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Phase</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Role in Model</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Ticker / Name</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Identifier</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Both</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Company ID — drop before training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Revenue T12M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financial health signal</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EPS T12M</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earnings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Valuation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market pricing signal</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Tot Assets LF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Size/Scale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also used in ratio engineering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Debt/EBITDA 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Leverage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key default driver</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Debt/Equity LF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Leverage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key default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 Ratio 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Liquidity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liquidity buffer</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Quick Ratio LF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Liquidity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stringent liquidity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FCF T12M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Cash Flow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free cash generation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EBIT T12M</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used in ratio engineering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EBITDA T12M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used in ratio engineering</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Total Liab LF</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Leverage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total debt burden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ROA to ROE LF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capital efficiency</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AZS</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Default Proxy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Target Variable Y (convert to binary)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 Msrmnt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Credit 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market credit signal</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 Cap</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firm size proxy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Beta:M-1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Risk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systematic risk</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Volat:D-30</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 Risk</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recent volatility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Return:Y-1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X — historical performance</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Total Return:D-1</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Feature X — short-term momentum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Women on Bd:Y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 Governance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Feature — board diversity</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GHG Scope 1:Y</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 Environment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2</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Feature — direct emissions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GHG Scope 3:Y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 Environment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Feature — value chain emissions</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CO2 Scope 1:Y</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 Environment</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2</w:t>
            </w:r>
          </w:p>
        </w:tc>
        <w:tc>
          <w:tcPr>
            <w:tcW w:type="dxa" w:w="4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Feature — carbon footprint</w:t>
            </w:r>
          </w:p>
        </w:tc>
      </w:tr>
    </w:tbl>
    <w:p>
      <w:pPr>
        <w:spacing w:before="120"/>
      </w:pPr>
      <w:r>
        <w:t xml:space="preserve"/>
      </w:r>
    </w:p>
    <w:p>
      <w:pPr>
        <w:pStyle w:val="Heading1"/>
        <w:spacing w:before="360" w:after="180"/>
      </w:pPr>
      <w:r>
        <w:rPr>
          <w:b/>
          <w:bCs/>
          <w:color w:val="1F4E79"/>
          <w:sz w:val="32"/>
          <w:szCs w:val="32"/>
        </w:rPr>
        <w:t xml:space="preserve">3. TARGET VARIABLE CONSTRUCTION</w:t>
      </w:r>
    </w:p>
    <w:p>
      <w:pPr>
        <w:pBdr>
          <w:bottom w:val="single" w:color="1F4E79" w:sz="6" w:space="1"/>
        </w:pBdr>
        <w:spacing w:before="120" w:after="120"/>
      </w:pPr>
    </w:p>
    <w:p>
      <w:pPr>
        <w:spacing w:before="60"/>
      </w:pPr>
      <w:r>
        <w:t xml:space="preserve"/>
      </w:r>
    </w:p>
    <w:p>
      <w:pPr>
        <w:pStyle w:val="Heading2"/>
        <w:spacing w:before="240" w:after="120"/>
      </w:pPr>
      <w:r>
        <w:rPr>
          <w:b/>
          <w:bCs/>
          <w:color w:val="2E74B5"/>
          <w:sz w:val="26"/>
          <w:szCs w:val="26"/>
        </w:rPr>
        <w:t xml:space="preserve">3.1 Why Altman Z-Score is Your Best Default Proxy</w:t>
      </w:r>
    </w:p>
    <w:p>
      <w:pPr>
        <w:spacing w:before="60" w:after="60"/>
      </w:pPr>
      <w:r>
        <w:rPr>
          <w:sz w:val="22"/>
          <w:szCs w:val="22"/>
        </w:rPr>
        <w:t xml:space="preserve">Since your dataset does not contain actual default events (real-world defaults are rare and often proprietary), the Altman Z-Score (AZS) is the gold-standard academic proxy for financial distress and default probability. This is not a workaround — it is the accepted methodology in the literature when actual defaults are unavailable.</w:t>
      </w:r>
    </w:p>
    <w:p>
      <w:pPr>
        <w:spacing w:before="60"/>
      </w:pPr>
      <w:r>
        <w:t xml:space="preserve"/>
      </w:r>
    </w:p>
    <w:p>
      <w:pPr>
        <w:spacing w:before="30" w:after="30"/>
        <w:ind w:left="720"/>
      </w:pPr>
      <w:r>
        <w:rPr>
          <w:i/>
          <w:iCs/>
          <w:color w:val="555555"/>
          <w:sz w:val="20"/>
          <w:szCs w:val="20"/>
        </w:rPr>
        <w:t xml:space="preserve">Altman, E.I. (1968). Financial ratios, discriminant analysis and the prediction of corporate bankruptcy. Journal of Finance, 23(4), 589-609. https://doi.org/10.2307/2978933</w:t>
      </w:r>
    </w:p>
    <w:p>
      <w:pPr>
        <w:spacing w:before="30" w:after="30"/>
        <w:ind w:left="720"/>
      </w:pPr>
      <w:r>
        <w:rPr>
          <w:i/>
          <w:iCs/>
          <w:color w:val="555555"/>
          <w:sz w:val="20"/>
          <w:szCs w:val="20"/>
        </w:rPr>
        <w:t xml:space="preserve">Shi, Y. &amp; Li, X. (2019). An overview of bankruptcy prediction models for corporate firms: A systematic literature review. Intangible Capital, 15(2), 114-127. https://doi.org/10.3926/ic.1325</w:t>
      </w:r>
    </w:p>
    <w:p>
      <w:pPr>
        <w:spacing w:before="30" w:after="30"/>
        <w:ind w:left="720"/>
      </w:pPr>
      <w:r>
        <w:rPr>
          <w:i/>
          <w:iCs/>
          <w:color w:val="555555"/>
          <w:sz w:val="20"/>
          <w:szCs w:val="20"/>
        </w:rPr>
        <w:t xml:space="preserve">MDPI (2025). The Impact of ESG Factors on Corporate Credit Risk: An Empirical Analysis of European Firms Using the Altman Z-Score. (2020-2024 panel study). https://doi.org/10.3390/fintech2010002</w:t>
      </w:r>
    </w:p>
    <w:p>
      <w:pPr>
        <w:spacing w:before="60"/>
      </w:pPr>
      <w:r>
        <w:t xml:space="preserve"/>
      </w:r>
    </w:p>
    <w:p>
      <w:pPr>
        <w:pStyle w:val="Heading2"/>
        <w:spacing w:before="240" w:after="120"/>
      </w:pPr>
      <w:r>
        <w:rPr>
          <w:b/>
          <w:bCs/>
          <w:color w:val="2E74B5"/>
          <w:sz w:val="26"/>
          <w:szCs w:val="26"/>
        </w:rPr>
        <w:t xml:space="preserve">3.2 Binary Default Variable Construction</w:t>
      </w:r>
    </w:p>
    <w:p>
      <w:pPr>
        <w:spacing w:before="60" w:after="60"/>
      </w:pPr>
      <w:r>
        <w:rPr>
          <w:sz w:val="22"/>
          <w:szCs w:val="22"/>
        </w:rPr>
        <w:t xml:space="preserve">Convert the Altman Z-Score into a binary classification target as follows: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AZS Range</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Interpretation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Variable (Default)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Zone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AZS &lt; 1.8</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High financial distress — likely default</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1 (Default)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Distress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 &lt;= AZS &lt; 2.99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Gray area — some risk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Optionally 1 or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Grey Zone</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AZS &gt;= 2.99</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Financially safe</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0 (No Default)</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Safe Zone</w:t>
            </w:r>
          </w:p>
        </w:tc>
      </w:tr>
    </w:tbl>
    <w:p>
      <w:pPr>
        <w:spacing w:before="60"/>
      </w:pPr>
      <w:r>
        <w:t xml:space="preserve"/>
      </w:r>
    </w:p>
    <w:p>
      <w:pPr>
        <w:spacing w:before="60" w:after="60"/>
      </w:pPr>
      <w:r>
        <w:rPr>
          <w:sz w:val="22"/>
          <w:szCs w:val="22"/>
        </w:rPr>
        <w:t xml:space="preserve">Recommended approach: Use the strict binary cutoff at 1.8 for Phase 1 (AZS &lt; 1.8 = Default = 1). This matches the Altman (1968) threshold and is used in recent research including MDPI (2025) above.</w:t>
      </w:r>
    </w:p>
    <w:p>
      <w:pPr>
        <w:spacing w:before="120"/>
      </w:pPr>
      <w:r>
        <w:t xml:space="preserve"/>
      </w:r>
    </w:p>
    <w:p>
      <w:pPr>
        <w:pStyle w:val="Heading1"/>
        <w:spacing w:before="360" w:after="180"/>
      </w:pPr>
      <w:r>
        <w:rPr>
          <w:b/>
          <w:bCs/>
          <w:color w:val="1F4E79"/>
          <w:sz w:val="32"/>
          <w:szCs w:val="32"/>
        </w:rPr>
        <w:t xml:space="preserve">4. FEATURE ENGINEERING — CREATING POWERFUL DERIVED VARIABLES</w:t>
      </w:r>
    </w:p>
    <w:p>
      <w:pPr>
        <w:pBdr>
          <w:bottom w:val="single" w:color="1F4E79" w:sz="6" w:space="1"/>
        </w:pBdr>
        <w:spacing w:before="120" w:after="120"/>
      </w:pPr>
    </w:p>
    <w:p>
      <w:pPr>
        <w:spacing w:before="60"/>
      </w:pPr>
      <w:r>
        <w:t xml:space="preserve"/>
      </w:r>
    </w:p>
    <w:p>
      <w:pPr>
        <w:spacing w:before="60" w:after="60"/>
      </w:pPr>
      <w:r>
        <w:rPr>
          <w:sz w:val="22"/>
          <w:szCs w:val="22"/>
        </w:rPr>
        <w:t xml:space="preserve">Feature engineering is one of the most impactful steps. Creating domain-specific ratios from raw fields dramatically improves model performance. The following engineered features are academically supported: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60"/>
        <w:gridCol w:w="2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Engineered Feature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Formula</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What it Captures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Research Support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Interest Coverage Proxy</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EBIT / (Total Liab * assumed rate)</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Debt service capacity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Campbell et al. (2008)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Asset Utilization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Revenue / Total Assets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Operational efficiency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Altman (1968)</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Earnings Quality</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FCF / EBITDA</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Cash conversion quality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Khandani et al. (2010)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Leverage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Debt/EBITDA LF (already available)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Debt sustainability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Shumway (2001)</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Market-to-Book Proxy</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 Cap / Total Assets</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Market valuation signal</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Campbell et al. (2008)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Profitability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EBIT / Total Assets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Return on assets (ROA)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Ohlson (1980)</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Liquidity Spread</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Curr Ratio - Quick Ratio</w:t>
            </w:r>
          </w:p>
        </w:tc>
        <w:tc>
          <w:tcPr>
            <w:tcW w:type="dxa" w:w="25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Inventory dependency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Hand &amp; Henley (1997)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Momentum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Return Y-1 minus Volatility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Risk-adjusted return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Bharath &amp; Shumway (2008)</w:t>
            </w:r>
          </w:p>
        </w:tc>
      </w:tr>
    </w:tbl>
    <w:p>
      <w:pPr>
        <w:spacing w:before="60"/>
      </w:pPr>
      <w:r>
        <w:t xml:space="preserve"/>
      </w:r>
    </w:p>
    <w:p>
      <w:pPr>
        <w:spacing w:before="30" w:after="30"/>
        <w:ind w:left="720"/>
      </w:pPr>
      <w:r>
        <w:rPr>
          <w:i/>
          <w:iCs/>
          <w:color w:val="555555"/>
          <w:sz w:val="20"/>
          <w:szCs w:val="20"/>
        </w:rPr>
        <w:t xml:space="preserve">Khandani, A.E., Kim, A.J. &amp; Lo, A.W. (2010). Consumer credit-risk models via machine-learning algorithms. Journal of Banking &amp; Finance, 34(11), 2767-2787.</w:t>
      </w:r>
    </w:p>
    <w:p>
      <w:pPr>
        <w:spacing w:before="30" w:after="30"/>
        <w:ind w:left="720"/>
      </w:pPr>
      <w:r>
        <w:rPr>
          <w:i/>
          <w:iCs/>
          <w:color w:val="555555"/>
          <w:sz w:val="20"/>
          <w:szCs w:val="20"/>
        </w:rPr>
        <w:t xml:space="preserve">Campbell, J.Y., Hilscher, J. &amp; Szilagyi, J. (2008). In search of distress risk. Journal of Finance, 63(6), 2899-2939.</w:t>
      </w:r>
    </w:p>
    <w:p>
      <w:pPr>
        <w:spacing w:before="30" w:after="30"/>
        <w:ind w:left="720"/>
      </w:pPr>
      <w:r>
        <w:rPr>
          <w:i/>
          <w:iCs/>
          <w:color w:val="555555"/>
          <w:sz w:val="20"/>
          <w:szCs w:val="20"/>
        </w:rPr>
        <w:t xml:space="preserve">Bharath, S.T. &amp; Shumway, T. (2008). Forecasting default with the Merton distance to default model. Review of Financial Studies, 21(3), 1339-1369.</w:t>
      </w:r>
    </w:p>
    <w:p>
      <w:pPr>
        <w:spacing w:before="120"/>
      </w:pPr>
      <w:r>
        <w:t xml:space="preserve"/>
      </w:r>
    </w:p>
    <w:p>
      <w:pPr>
        <w:pStyle w:val="Heading1"/>
        <w:spacing w:before="360" w:after="180"/>
      </w:pPr>
      <w:r>
        <w:rPr>
          <w:b/>
          <w:bCs/>
          <w:color w:val="1F4E79"/>
          <w:sz w:val="32"/>
          <w:szCs w:val="32"/>
        </w:rPr>
        <w:t xml:space="preserve">5. DATA PREPROCESSING PIPELINE</w:t>
      </w:r>
    </w:p>
    <w:p>
      <w:pPr>
        <w:pBdr>
          <w:bottom w:val="single" w:color="1F4E79" w:sz="6" w:space="1"/>
        </w:pBdr>
        <w:spacing w:before="120" w:after="120"/>
      </w:pPr>
    </w:p>
    <w:p>
      <w:pPr>
        <w:spacing w:before="60"/>
      </w:pPr>
      <w:r>
        <w:t xml:space="preserve"/>
      </w:r>
    </w:p>
    <w:p>
      <w:pPr>
        <w:spacing w:before="60" w:after="60"/>
      </w:pPr>
      <w:r>
        <w:rPr>
          <w:sz w:val="22"/>
          <w:szCs w:val="22"/>
        </w:rPr>
        <w:t xml:space="preserve">A rigorous preprocessing pipeline is critical. The following steps must be executed in order before any model training begins:</w:t>
      </w:r>
    </w:p>
    <w:p>
      <w:pPr>
        <w:spacing w:before="60"/>
      </w:pPr>
      <w:r>
        <w:t xml:space="preserve"/>
      </w:r>
    </w:p>
    <w:p>
      <w:pPr>
        <w:pStyle w:val="Heading2"/>
        <w:spacing w:before="240" w:after="120"/>
      </w:pPr>
      <w:r>
        <w:rPr>
          <w:b/>
          <w:bCs/>
          <w:color w:val="2E74B5"/>
          <w:sz w:val="26"/>
          <w:szCs w:val="26"/>
        </w:rPr>
        <w:t xml:space="preserve">Step 1 — Missing Value Treatment</w:t>
      </w:r>
    </w:p>
    <w:p>
      <w:pPr>
        <w:pStyle w:val="ListParagraph"/>
        <w:numPr>
          <w:ilvl w:val="0"/>
          <w:numId w:val="2"/>
        </w:numPr>
        <w:spacing w:before="40" w:after="40"/>
      </w:pPr>
      <w:r>
        <w:rPr>
          <w:sz w:val="22"/>
          <w:szCs w:val="22"/>
        </w:rPr>
        <w:t xml:space="preserve">Identify columns with &gt;30% missing values — consider dropping or flagging these</w:t>
      </w:r>
    </w:p>
    <w:p>
      <w:pPr>
        <w:pStyle w:val="ListParagraph"/>
        <w:numPr>
          <w:ilvl w:val="0"/>
          <w:numId w:val="2"/>
        </w:numPr>
        <w:spacing w:before="40" w:after="40"/>
      </w:pPr>
      <w:r>
        <w:rPr>
          <w:sz w:val="22"/>
          <w:szCs w:val="22"/>
        </w:rPr>
        <w:t xml:space="preserve">For financial ratios: impute with column median (robust to outliers)</w:t>
      </w:r>
    </w:p>
    <w:p>
      <w:pPr>
        <w:pStyle w:val="ListParagraph"/>
        <w:numPr>
          <w:ilvl w:val="0"/>
          <w:numId w:val="2"/>
        </w:numPr>
        <w:spacing w:before="40" w:after="40"/>
      </w:pPr>
      <w:r>
        <w:rPr>
          <w:sz w:val="22"/>
          <w:szCs w:val="22"/>
        </w:rPr>
        <w:t xml:space="preserve">For market variables (Beta, Volat): impute with median or forward-fill if time series</w:t>
      </w:r>
    </w:p>
    <w:p>
      <w:pPr>
        <w:pStyle w:val="ListParagraph"/>
        <w:numPr>
          <w:ilvl w:val="0"/>
          <w:numId w:val="2"/>
        </w:numPr>
        <w:spacing w:before="40" w:after="40"/>
      </w:pPr>
      <w:r>
        <w:rPr>
          <w:sz w:val="22"/>
          <w:szCs w:val="22"/>
        </w:rPr>
        <w:t xml:space="preserve">Never impute the target variable (AZS) — drop rows where AZS is missing</w:t>
      </w:r>
    </w:p>
    <w:p>
      <w:pPr>
        <w:spacing w:before="30" w:after="30"/>
        <w:ind w:left="720"/>
      </w:pPr>
      <w:r>
        <w:rPr>
          <w:i/>
          <w:iCs/>
          <w:color w:val="555555"/>
          <w:sz w:val="20"/>
          <w:szCs w:val="20"/>
        </w:rPr>
        <w:t xml:space="preserve">Zhang, X. &amp; Yu, L. (2024). Consumer credit risk assessment: A review from state-of-the-art classification algorithms, data traits, and learning methods. Journal of Risk and Financial Management.</w:t>
      </w:r>
    </w:p>
    <w:p>
      <w:pPr>
        <w:spacing w:before="60"/>
      </w:pPr>
      <w:r>
        <w:t xml:space="preserve"/>
      </w:r>
    </w:p>
    <w:p>
      <w:pPr>
        <w:pStyle w:val="Heading2"/>
        <w:spacing w:before="240" w:after="120"/>
      </w:pPr>
      <w:r>
        <w:rPr>
          <w:b/>
          <w:bCs/>
          <w:color w:val="2E74B5"/>
          <w:sz w:val="26"/>
          <w:szCs w:val="26"/>
        </w:rPr>
        <w:t xml:space="preserve">Step 2 — Outlier Handling (Winsorization)</w:t>
      </w:r>
    </w:p>
    <w:p>
      <w:pPr>
        <w:pStyle w:val="ListParagraph"/>
        <w:numPr>
          <w:ilvl w:val="0"/>
          <w:numId w:val="2"/>
        </w:numPr>
        <w:spacing w:before="40" w:after="40"/>
      </w:pPr>
      <w:r>
        <w:rPr>
          <w:sz w:val="22"/>
          <w:szCs w:val="22"/>
        </w:rPr>
        <w:t xml:space="preserve">Apply winsorization at 1st and 99th percentile for all continuous financial variables</w:t>
      </w:r>
    </w:p>
    <w:p>
      <w:pPr>
        <w:pStyle w:val="ListParagraph"/>
        <w:numPr>
          <w:ilvl w:val="0"/>
          <w:numId w:val="2"/>
        </w:numPr>
        <w:spacing w:before="40" w:after="40"/>
      </w:pPr>
      <w:r>
        <w:rPr>
          <w:sz w:val="22"/>
          <w:szCs w:val="22"/>
        </w:rPr>
        <w:t xml:space="preserve">Financial data has extreme outliers (e.g., negative EBITDA, very high P/E ratios)</w:t>
      </w:r>
    </w:p>
    <w:p>
      <w:pPr>
        <w:pStyle w:val="ListParagraph"/>
        <w:numPr>
          <w:ilvl w:val="0"/>
          <w:numId w:val="2"/>
        </w:numPr>
        <w:spacing w:before="40" w:after="40"/>
      </w:pPr>
      <w:r>
        <w:rPr>
          <w:sz w:val="22"/>
          <w:szCs w:val="22"/>
        </w:rPr>
        <w:t xml:space="preserve">Winsorization is preferred over removal — preserves data size</w:t>
      </w:r>
    </w:p>
    <w:p>
      <w:pPr>
        <w:pStyle w:val="ListParagraph"/>
        <w:numPr>
          <w:ilvl w:val="0"/>
          <w:numId w:val="2"/>
        </w:numPr>
        <w:spacing w:before="40" w:after="40"/>
      </w:pPr>
      <w:r>
        <w:rPr>
          <w:sz w:val="22"/>
          <w:szCs w:val="22"/>
        </w:rPr>
        <w:t xml:space="preserve">Apply AFTER imputation, BEFORE scaling</w:t>
      </w:r>
    </w:p>
    <w:p>
      <w:pPr>
        <w:spacing w:before="60"/>
      </w:pPr>
      <w:r>
        <w:t xml:space="preserve"/>
      </w:r>
    </w:p>
    <w:p>
      <w:pPr>
        <w:pStyle w:val="Heading2"/>
        <w:spacing w:before="240" w:after="120"/>
      </w:pPr>
      <w:r>
        <w:rPr>
          <w:b/>
          <w:bCs/>
          <w:color w:val="2E74B5"/>
          <w:sz w:val="26"/>
          <w:szCs w:val="26"/>
        </w:rPr>
        <w:t xml:space="preserve">Step 3 — Feature Scaling</w:t>
      </w:r>
    </w:p>
    <w:p>
      <w:pPr>
        <w:pStyle w:val="ListParagraph"/>
        <w:numPr>
          <w:ilvl w:val="0"/>
          <w:numId w:val="2"/>
        </w:numPr>
        <w:spacing w:before="40" w:after="40"/>
      </w:pPr>
      <w:r>
        <w:rPr>
          <w:sz w:val="22"/>
          <w:szCs w:val="22"/>
        </w:rPr>
        <w:t xml:space="preserve">Apply StandardScaler (zero mean, unit variance) for Logistic Regression and SVM</w:t>
      </w:r>
    </w:p>
    <w:p>
      <w:pPr>
        <w:pStyle w:val="ListParagraph"/>
        <w:numPr>
          <w:ilvl w:val="0"/>
          <w:numId w:val="2"/>
        </w:numPr>
        <w:spacing w:before="40" w:after="40"/>
      </w:pPr>
      <w:r>
        <w:rPr>
          <w:sz w:val="22"/>
          <w:szCs w:val="22"/>
        </w:rPr>
        <w:t xml:space="preserve">Tree-based models (Random Forest, XGBoost) do NOT require scaling — but it doesn't hurt</w:t>
      </w:r>
    </w:p>
    <w:p>
      <w:pPr>
        <w:pStyle w:val="ListParagraph"/>
        <w:numPr>
          <w:ilvl w:val="0"/>
          <w:numId w:val="2"/>
        </w:numPr>
        <w:spacing w:before="40" w:after="40"/>
      </w:pPr>
      <w:r>
        <w:rPr>
          <w:sz w:val="22"/>
          <w:szCs w:val="22"/>
        </w:rPr>
        <w:t xml:space="preserve">Fit scaler on training set ONLY — transform both train and test</w:t>
      </w:r>
    </w:p>
    <w:p>
      <w:pPr>
        <w:spacing w:before="60"/>
      </w:pPr>
      <w:r>
        <w:t xml:space="preserve"/>
      </w:r>
    </w:p>
    <w:p>
      <w:pPr>
        <w:pStyle w:val="Heading2"/>
        <w:spacing w:before="240" w:after="120"/>
      </w:pPr>
      <w:r>
        <w:rPr>
          <w:b/>
          <w:bCs/>
          <w:color w:val="2E74B5"/>
          <w:sz w:val="26"/>
          <w:szCs w:val="26"/>
        </w:rPr>
        <w:t xml:space="preserve">Step 4 — Class Imbalance Handling (CRITICAL)</w:t>
      </w:r>
    </w:p>
    <w:p>
      <w:pPr>
        <w:spacing w:before="60" w:after="60"/>
      </w:pPr>
      <w:r>
        <w:rPr>
          <w:sz w:val="22"/>
          <w:szCs w:val="22"/>
        </w:rPr>
        <w:t xml:space="preserve">Defaults are rare events. If your dataset has &lt;15% defaults, you have a class imbalance problem. This is one of the most common failure points in credit risk models.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760"/>
        <w:gridCol w:w="2500"/>
      </w:tblGrid>
      <w:tr>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Technique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When to Use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Python Implementation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Research Support</w:t>
            </w:r>
          </w:p>
        </w:tc>
      </w:tr>
      <w:t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class_weight='balanced'</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Simple first step, always try</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LogisticRegression(class_weight='balanced')</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He &amp; Garcia (2009)</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SMOTE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Training set oversampling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imblearn.over_sampling.SMOTE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 &amp; Garcia (2009)</w:t>
            </w:r>
          </w:p>
        </w:tc>
      </w:tr>
      <w:t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SMOTE + ENN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Best combined approach</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imblearn.combine.SMOTEENN</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Emmanuel et al. (2024)</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scale_pos_weight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XGBoost built-in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XGBClassifier(scale_pos_weight=ratio)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Chen &amp; Guestrin (2016)</w:t>
            </w:r>
          </w:p>
        </w:tc>
      </w:tr>
      <w:tr>
        <w:tc>
          <w:tcPr>
            <w:tcW w:type="dxa" w:w="21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Focal Loss</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Advanced: ESG+imbalance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Custom loss function</w:t>
            </w:r>
          </w:p>
        </w:tc>
        <w:tc>
          <w:tcPr>
            <w:tcW w:type="dxa" w:w="2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Liu et al. (2025)</w:t>
            </w:r>
          </w:p>
        </w:tc>
      </w:tr>
    </w:tbl>
    <w:p>
      <w:pPr>
        <w:spacing w:before="60"/>
      </w:pPr>
      <w:r>
        <w:t xml:space="preserve"/>
      </w:r>
    </w:p>
    <w:p>
      <w:pPr>
        <w:spacing w:before="30" w:after="30"/>
        <w:ind w:left="720"/>
      </w:pPr>
      <w:r>
        <w:rPr>
          <w:i/>
          <w:iCs/>
          <w:color w:val="555555"/>
          <w:sz w:val="20"/>
          <w:szCs w:val="20"/>
        </w:rPr>
        <w:t xml:space="preserve">He, H. &amp; Garcia, E.A. (2009). Learning from imbalanced data. IEEE Transactions on Knowledge and Data Engineering, 21(9), 1263-1284.</w:t>
      </w:r>
    </w:p>
    <w:p>
      <w:pPr>
        <w:spacing w:before="30" w:after="30"/>
        <w:ind w:left="720"/>
      </w:pPr>
      <w:r>
        <w:rPr>
          <w:i/>
          <w:iCs/>
          <w:color w:val="555555"/>
          <w:sz w:val="20"/>
          <w:szCs w:val="20"/>
        </w:rPr>
        <w:t xml:space="preserve">Emmanuel, I., Sun, Y. &amp; Wang, Z. (2024). A machine learning-based credit risk prediction engine system using a stacked classifier. Journal of Big Data, 11, 23.</w:t>
      </w:r>
    </w:p>
    <w:p>
      <w:pPr>
        <w:spacing w:before="120"/>
      </w:pPr>
      <w:r>
        <w:t xml:space="preserve"/>
      </w:r>
    </w:p>
    <w:p>
      <w:pPr>
        <w:pStyle w:val="Heading1"/>
        <w:spacing w:before="360" w:after="180"/>
      </w:pPr>
      <w:r>
        <w:rPr>
          <w:b/>
          <w:bCs/>
          <w:color w:val="1F4E79"/>
          <w:sz w:val="32"/>
          <w:szCs w:val="32"/>
        </w:rPr>
        <w:t xml:space="preserve">6. MODEL ARCHITECTURE — PHASE 1 (BASE MODEL)</w:t>
      </w:r>
    </w:p>
    <w:p>
      <w:pPr>
        <w:pBdr>
          <w:bottom w:val="single" w:color="1F4E79" w:sz="6" w:space="1"/>
        </w:pBdr>
        <w:spacing w:before="120" w:after="120"/>
      </w:pPr>
    </w:p>
    <w:p>
      <w:pPr>
        <w:spacing w:before="60"/>
      </w:pPr>
      <w:r>
        <w:t xml:space="preserve"/>
      </w:r>
    </w:p>
    <w:p>
      <w:pPr>
        <w:spacing w:before="60" w:after="60"/>
      </w:pPr>
      <w:r>
        <w:rPr>
          <w:sz w:val="22"/>
          <w:szCs w:val="22"/>
        </w:rPr>
        <w:t xml:space="preserve">The following model stack represents the most research-validated, practical architecture for corporate credit risk modeling as of 2024-2025. Each model builds on the previous one.</w:t>
      </w:r>
    </w:p>
    <w:p>
      <w:pPr>
        <w:spacing w:before="60"/>
      </w:pPr>
      <w:r>
        <w:t xml:space="preserve"/>
      </w:r>
    </w:p>
    <w:p>
      <w:pPr>
        <w:pStyle w:val="Heading2"/>
        <w:spacing w:before="240" w:after="120"/>
      </w:pPr>
      <w:r>
        <w:rPr>
          <w:b/>
          <w:bCs/>
          <w:color w:val="2E74B5"/>
          <w:sz w:val="26"/>
          <w:szCs w:val="26"/>
        </w:rPr>
        <w:t xml:space="preserve">Model 1 — Logistic Regression (Baseline)</w:t>
      </w:r>
    </w:p>
    <w:p>
      <w:pPr>
        <w:spacing w:before="60" w:after="60"/>
      </w:pPr>
      <w:r>
        <w:rPr>
          <w:sz w:val="22"/>
          <w:szCs w:val="22"/>
        </w:rPr>
        <w:t xml:space="preserve">The academic and industry standard baseline for all credit risk models. Every research paper starts here. It gives you interpretable coefficients that directly validate whether your model makes economic sense.</w:t>
      </w:r>
    </w:p>
    <w:p>
      <w:pPr>
        <w:pStyle w:val="ListParagraph"/>
        <w:numPr>
          <w:ilvl w:val="0"/>
          <w:numId w:val="2"/>
        </w:numPr>
        <w:spacing w:before="40" w:after="40"/>
      </w:pPr>
      <w:r>
        <w:rPr>
          <w:sz w:val="22"/>
          <w:szCs w:val="22"/>
        </w:rPr>
        <w:t xml:space="preserve">Output: PD score (probability 0 to 1) for each company</w:t>
      </w:r>
    </w:p>
    <w:p>
      <w:pPr>
        <w:pStyle w:val="ListParagraph"/>
        <w:numPr>
          <w:ilvl w:val="0"/>
          <w:numId w:val="2"/>
        </w:numPr>
        <w:spacing w:before="40" w:after="40"/>
      </w:pPr>
      <w:r>
        <w:rPr>
          <w:sz w:val="22"/>
          <w:szCs w:val="22"/>
        </w:rPr>
        <w:t xml:space="preserve">Key coefficients to check: Debt/EBITDA (+), Liquidity (-), Profitability (-)</w:t>
      </w:r>
    </w:p>
    <w:p>
      <w:pPr>
        <w:pStyle w:val="ListParagraph"/>
        <w:numPr>
          <w:ilvl w:val="0"/>
          <w:numId w:val="2"/>
        </w:numPr>
        <w:spacing w:before="40" w:after="40"/>
      </w:pPr>
      <w:r>
        <w:rPr>
          <w:sz w:val="22"/>
          <w:szCs w:val="22"/>
        </w:rPr>
        <w:t xml:space="preserve">AUC target: &gt;0.65 is acceptable; this is baseline</w:t>
      </w:r>
    </w:p>
    <w:p>
      <w:pPr>
        <w:spacing w:before="60"/>
      </w:pPr>
      <w:r>
        <w:t xml:space="preserve"/>
      </w:r>
    </w:p>
    <w:p>
      <w:pPr>
        <w:spacing w:before="30" w:after="30"/>
        <w:ind w:left="720"/>
      </w:pPr>
      <w:r>
        <w:rPr>
          <w:i/>
          <w:iCs/>
          <w:color w:val="555555"/>
          <w:sz w:val="20"/>
          <w:szCs w:val="20"/>
        </w:rPr>
        <w:t xml:space="preserve">Ohlson, J.A. (1980). Financial ratios and the probabilistic prediction of bankruptcy. Journal of Accounting Research, 18(1), 109-131.</w:t>
      </w:r>
    </w:p>
    <w:p>
      <w:pPr>
        <w:spacing w:before="30" w:after="30"/>
        <w:ind w:left="720"/>
      </w:pPr>
      <w:r>
        <w:rPr>
          <w:i/>
          <w:iCs/>
          <w:color w:val="555555"/>
          <w:sz w:val="20"/>
          <w:szCs w:val="20"/>
        </w:rPr>
        <w:t xml:space="preserve">Shumway, T. (2001). Forecasting bankruptcy more accurately: A simple hazard model. Journal of Business, 74(1), 101-124.</w:t>
      </w:r>
    </w:p>
    <w:p>
      <w:pPr>
        <w:spacing w:before="60"/>
      </w:pPr>
      <w:r>
        <w:t xml:space="preserve"/>
      </w:r>
    </w:p>
    <w:p>
      <w:pPr>
        <w:pStyle w:val="Heading2"/>
        <w:spacing w:before="240" w:after="120"/>
      </w:pPr>
      <w:r>
        <w:rPr>
          <w:b/>
          <w:bCs/>
          <w:color w:val="2E74B5"/>
          <w:sz w:val="26"/>
          <w:szCs w:val="26"/>
        </w:rPr>
        <w:t xml:space="preserve">Model 2 — Random Forest (Ensemble Baseline)</w:t>
      </w:r>
    </w:p>
    <w:p>
      <w:pPr>
        <w:spacing w:before="60" w:after="60"/>
      </w:pPr>
      <w:r>
        <w:rPr>
          <w:sz w:val="22"/>
          <w:szCs w:val="22"/>
        </w:rPr>
        <w:t xml:space="preserve">Addresses non-linearity and feature interactions that Logistic Regression cannot capture. Proven to outperform logistic regression in most credit risk studies. Also provides native feature importance.</w:t>
      </w:r>
    </w:p>
    <w:p>
      <w:pPr>
        <w:pStyle w:val="ListParagraph"/>
        <w:numPr>
          <w:ilvl w:val="0"/>
          <w:numId w:val="2"/>
        </w:numPr>
        <w:spacing w:before="40" w:after="40"/>
      </w:pPr>
      <w:r>
        <w:rPr>
          <w:sz w:val="22"/>
          <w:szCs w:val="22"/>
        </w:rPr>
        <w:t xml:space="preserve">Set n_estimators=500, max_depth=6-8 for financial data</w:t>
      </w:r>
    </w:p>
    <w:p>
      <w:pPr>
        <w:pStyle w:val="ListParagraph"/>
        <w:numPr>
          <w:ilvl w:val="0"/>
          <w:numId w:val="2"/>
        </w:numPr>
        <w:spacing w:before="40" w:after="40"/>
      </w:pPr>
      <w:r>
        <w:rPr>
          <w:sz w:val="22"/>
          <w:szCs w:val="22"/>
        </w:rPr>
        <w:t xml:space="preserve">Use class_weight='balanced' for imbalance</w:t>
      </w:r>
    </w:p>
    <w:p>
      <w:pPr>
        <w:pStyle w:val="ListParagraph"/>
        <w:numPr>
          <w:ilvl w:val="0"/>
          <w:numId w:val="2"/>
        </w:numPr>
        <w:spacing w:before="40" w:after="40"/>
      </w:pPr>
      <w:r>
        <w:rPr>
          <w:sz w:val="22"/>
          <w:szCs w:val="22"/>
        </w:rPr>
        <w:t xml:space="preserve">Run feature importance — validate economic intuition</w:t>
      </w:r>
    </w:p>
    <w:p>
      <w:pPr>
        <w:pStyle w:val="ListParagraph"/>
        <w:numPr>
          <w:ilvl w:val="0"/>
          <w:numId w:val="2"/>
        </w:numPr>
        <w:spacing w:before="40" w:after="40"/>
      </w:pPr>
      <w:r>
        <w:rPr>
          <w:sz w:val="22"/>
          <w:szCs w:val="22"/>
        </w:rPr>
        <w:t xml:space="preserve">AUC target: &gt;0.75</w:t>
      </w:r>
    </w:p>
    <w:p>
      <w:pPr>
        <w:spacing w:before="60"/>
      </w:pPr>
      <w:r>
        <w:t xml:space="preserve"/>
      </w:r>
    </w:p>
    <w:p>
      <w:pPr>
        <w:spacing w:before="30" w:after="30"/>
        <w:ind w:left="720"/>
      </w:pPr>
      <w:r>
        <w:rPr>
          <w:i/>
          <w:iCs/>
          <w:color w:val="555555"/>
          <w:sz w:val="20"/>
          <w:szCs w:val="20"/>
        </w:rPr>
        <w:t xml:space="preserve">Barboza, F., Kimura, H. &amp; Altman, E. (2017). Machine learning models and bankruptcy prediction. Expert Systems with Applications, 83, 405-417.</w:t>
      </w:r>
    </w:p>
    <w:p>
      <w:pPr>
        <w:spacing w:before="60"/>
      </w:pPr>
      <w:r>
        <w:t xml:space="preserve"/>
      </w:r>
    </w:p>
    <w:p>
      <w:pPr>
        <w:pStyle w:val="Heading2"/>
        <w:spacing w:before="240" w:after="120"/>
      </w:pPr>
      <w:r>
        <w:rPr>
          <w:b/>
          <w:bCs/>
          <w:color w:val="2E74B5"/>
          <w:sz w:val="26"/>
          <w:szCs w:val="26"/>
        </w:rPr>
        <w:t xml:space="preserve">Model 3 — XGBoost (Primary Model — RECOMMENDED)</w:t>
      </w:r>
    </w:p>
    <w:p>
      <w:pPr>
        <w:spacing w:before="60" w:after="60"/>
      </w:pPr>
      <w:r>
        <w:rPr>
          <w:sz w:val="22"/>
          <w:szCs w:val="22"/>
        </w:rPr>
        <w:t xml:space="preserve">XGBoost is the industry and research standard as of 2024. Across multiple recent benchmark studies, XGBoost consistently outperforms Logistic Regression and often beats Random Forest on financial datasets. It is the model you should focus your energy on.</w:t>
      </w:r>
    </w:p>
    <w:p>
      <w:pPr>
        <w:pStyle w:val="ListParagraph"/>
        <w:numPr>
          <w:ilvl w:val="0"/>
          <w:numId w:val="2"/>
        </w:numPr>
        <w:spacing w:before="40" w:after="40"/>
      </w:pPr>
      <w:r>
        <w:rPr>
          <w:sz w:val="22"/>
          <w:szCs w:val="22"/>
        </w:rPr>
        <w:t xml:space="preserve">Set learning_rate=0.05, n_estimators=500, max_depth=5, subsample=0.8</w:t>
      </w:r>
    </w:p>
    <w:p>
      <w:pPr>
        <w:pStyle w:val="ListParagraph"/>
        <w:numPr>
          <w:ilvl w:val="0"/>
          <w:numId w:val="2"/>
        </w:numPr>
        <w:spacing w:before="40" w:after="40"/>
      </w:pPr>
      <w:r>
        <w:rPr>
          <w:sz w:val="22"/>
          <w:szCs w:val="22"/>
        </w:rPr>
        <w:t xml:space="preserve">Use scale_pos_weight = (negative cases / positive cases) for imbalance</w:t>
      </w:r>
    </w:p>
    <w:p>
      <w:pPr>
        <w:pStyle w:val="ListParagraph"/>
        <w:numPr>
          <w:ilvl w:val="0"/>
          <w:numId w:val="2"/>
        </w:numPr>
        <w:spacing w:before="40" w:after="40"/>
      </w:pPr>
      <w:r>
        <w:rPr>
          <w:sz w:val="22"/>
          <w:szCs w:val="22"/>
        </w:rPr>
        <w:t xml:space="preserve">Apply GridSearchCV or Optuna for hyperparameter tuning</w:t>
      </w:r>
    </w:p>
    <w:p>
      <w:pPr>
        <w:pStyle w:val="ListParagraph"/>
        <w:numPr>
          <w:ilvl w:val="0"/>
          <w:numId w:val="2"/>
        </w:numPr>
        <w:spacing w:before="40" w:after="40"/>
      </w:pPr>
      <w:r>
        <w:rPr>
          <w:sz w:val="22"/>
          <w:szCs w:val="22"/>
        </w:rPr>
        <w:t xml:space="preserve">AUC target: &gt;0.80</w:t>
      </w:r>
    </w:p>
    <w:p>
      <w:pPr>
        <w:spacing w:before="60"/>
      </w:pPr>
      <w:r>
        <w:t xml:space="preserve"/>
      </w:r>
    </w:p>
    <w:p>
      <w:pPr>
        <w:spacing w:before="30" w:after="30"/>
        <w:ind w:left="720"/>
      </w:pPr>
      <w:r>
        <w:rPr>
          <w:i/>
          <w:iCs/>
          <w:color w:val="555555"/>
          <w:sz w:val="20"/>
          <w:szCs w:val="20"/>
        </w:rPr>
        <w:t xml:space="preserve">Chang, V. et al. (2024). Credit risk prediction using machine learning and deep learning: A study on credit card customers. Risks, 12(11), 174. — XGBoost achieved 99.4% accuracy.</w:t>
      </w:r>
    </w:p>
    <w:p>
      <w:pPr>
        <w:spacing w:before="30" w:after="30"/>
        <w:ind w:left="720"/>
      </w:pPr>
      <w:r>
        <w:rPr>
          <w:i/>
          <w:iCs/>
          <w:color w:val="555555"/>
          <w:sz w:val="20"/>
          <w:szCs w:val="20"/>
        </w:rPr>
        <w:t xml:space="preserve">Chen, Z. et al. (2023-2024). Machine learning for enhanced credit risk assessment. Journal of Risk and Financial Management, 16(12), 496. — XGBoost outperforms all traditional algorithms.</w:t>
      </w:r>
    </w:p>
    <w:p>
      <w:pPr>
        <w:spacing w:before="30" w:after="30"/>
        <w:ind w:left="720"/>
      </w:pPr>
      <w:r>
        <w:rPr>
          <w:i/>
          <w:iCs/>
          <w:color w:val="555555"/>
          <w:sz w:val="20"/>
          <w:szCs w:val="20"/>
        </w:rPr>
        <w:t xml:space="preserve">Chen, T. &amp; Guestrin, C. (2016). XGBoost: A scalable tree boosting system. KDD 2016. https://doi.org/10.1145/2939672.2939785</w:t>
      </w:r>
    </w:p>
    <w:p>
      <w:pPr>
        <w:spacing w:before="60"/>
      </w:pPr>
      <w:r>
        <w:t xml:space="preserve"/>
      </w:r>
    </w:p>
    <w:p>
      <w:pPr>
        <w:pStyle w:val="Heading2"/>
        <w:spacing w:before="240" w:after="120"/>
      </w:pPr>
      <w:r>
        <w:rPr>
          <w:b/>
          <w:bCs/>
          <w:color w:val="2E74B5"/>
          <w:sz w:val="26"/>
          <w:szCs w:val="26"/>
        </w:rPr>
        <w:t xml:space="preserve">Model 4 — LightGBM (Speed + Performance)</w:t>
      </w:r>
    </w:p>
    <w:p>
      <w:pPr>
        <w:spacing w:before="60" w:after="60"/>
      </w:pPr>
      <w:r>
        <w:rPr>
          <w:sz w:val="22"/>
          <w:szCs w:val="22"/>
        </w:rPr>
        <w:t xml:space="preserve">LightGBM is often faster than XGBoost on larger datasets and has shown competitive or superior AUC scores in recent studies. Recommended as a parallel model to compare against XGBoost.</w:t>
      </w:r>
    </w:p>
    <w:p>
      <w:pPr>
        <w:pStyle w:val="ListParagraph"/>
        <w:numPr>
          <w:ilvl w:val="0"/>
          <w:numId w:val="2"/>
        </w:numPr>
        <w:spacing w:before="40" w:after="40"/>
      </w:pPr>
      <w:r>
        <w:rPr>
          <w:sz w:val="22"/>
          <w:szCs w:val="22"/>
        </w:rPr>
        <w:t xml:space="preserve">Key advantage: leaf-wise growth (vs depth-wise in XGBoost) — better for imbalanced data</w:t>
      </w:r>
    </w:p>
    <w:p>
      <w:pPr>
        <w:pStyle w:val="ListParagraph"/>
        <w:numPr>
          <w:ilvl w:val="0"/>
          <w:numId w:val="2"/>
        </w:numPr>
        <w:spacing w:before="40" w:after="40"/>
      </w:pPr>
      <w:r>
        <w:rPr>
          <w:sz w:val="22"/>
          <w:szCs w:val="22"/>
        </w:rPr>
        <w:t xml:space="preserve">Use is_unbalance=True or class_weight='balanced'</w:t>
      </w:r>
    </w:p>
    <w:p>
      <w:pPr>
        <w:pStyle w:val="ListParagraph"/>
        <w:numPr>
          <w:ilvl w:val="0"/>
          <w:numId w:val="2"/>
        </w:numPr>
        <w:spacing w:before="40" w:after="40"/>
      </w:pPr>
      <w:r>
        <w:rPr>
          <w:sz w:val="22"/>
          <w:szCs w:val="22"/>
        </w:rPr>
        <w:t xml:space="preserve">Hyperparameter: num_leaves=31, min_child_samples=20</w:t>
      </w:r>
    </w:p>
    <w:p>
      <w:pPr>
        <w:spacing w:before="30" w:after="30"/>
        <w:ind w:left="720"/>
      </w:pPr>
      <w:r>
        <w:rPr>
          <w:i/>
          <w:iCs/>
          <w:color w:val="555555"/>
          <w:sz w:val="20"/>
          <w:szCs w:val="20"/>
        </w:rPr>
        <w:t xml:space="preserve">Zhu, M. et al. (2024). Ensemble methodology: Innovations in credit default prediction using LightGBM, XGBoost, and LocalEnsemble. arXiv:2402.17979.</w:t>
      </w:r>
    </w:p>
    <w:p>
      <w:pPr>
        <w:spacing w:before="60"/>
      </w:pPr>
      <w:r>
        <w:t xml:space="preserve"/>
      </w:r>
    </w:p>
    <w:p>
      <w:pPr>
        <w:pStyle w:val="Heading2"/>
        <w:spacing w:before="240" w:after="120"/>
      </w:pPr>
      <w:r>
        <w:rPr>
          <w:b/>
          <w:bCs/>
          <w:color w:val="2E74B5"/>
          <w:sz w:val="26"/>
          <w:szCs w:val="26"/>
        </w:rPr>
        <w:t xml:space="preserve">Model 5 — Stacking Ensemble (BEST FINAL MODEL)</w:t>
      </w:r>
    </w:p>
    <w:p>
      <w:pPr>
        <w:spacing w:before="60" w:after="60"/>
      </w:pPr>
      <w:r>
        <w:rPr>
          <w:sz w:val="22"/>
          <w:szCs w:val="22"/>
        </w:rPr>
        <w:t xml:space="preserve">The stacking ensemble is the highest-performing architecture in the most recent credit risk research (2024-2025). It combines predictions from base models using a meta-learner, achieving the best overall AUC while maintaining some interpretability.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2160"/>
        <w:gridCol w:w="120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Layer</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Models</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Meta-Learner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Research Support</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Base Learners</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Logistic Regression + Random Forest + XGBoost + LightGBM</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Emmanuel et al. (2024)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Meta-Learner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Logistic Regression (interpretable)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MDPI (2025)</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Expected AUC</w:t>
            </w:r>
          </w:p>
        </w:tc>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AUC = 0.761 - 0.85+</w:t>
            </w:r>
          </w:p>
        </w:tc>
        <w:tc>
          <w:tcPr>
            <w:tcW w:type="dxa" w:w="2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Depends on data quality</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MDPI (2025), Liu et al. (2025)</w:t>
            </w:r>
          </w:p>
        </w:tc>
      </w:tr>
    </w:tbl>
    <w:p>
      <w:pPr>
        <w:spacing w:before="60"/>
      </w:pPr>
      <w:r>
        <w:t xml:space="preserve"/>
      </w:r>
    </w:p>
    <w:p>
      <w:pPr>
        <w:spacing w:before="30" w:after="30"/>
        <w:ind w:left="720"/>
      </w:pPr>
      <w:r>
        <w:rPr>
          <w:i/>
          <w:iCs/>
          <w:color w:val="555555"/>
          <w:sz w:val="20"/>
          <w:szCs w:val="20"/>
        </w:rPr>
        <w:t xml:space="preserve">Emmanuel, I., Sun, Y. &amp; Wang, Z. (2024). A machine learning-based credit risk prediction engine system using a stacked classifier. Journal of Big Data, 11, 23. https://doi.org/10.1186/s40537-024-00882-0</w:t>
      </w:r>
    </w:p>
    <w:p>
      <w:pPr>
        <w:spacing w:before="30" w:after="30"/>
        <w:ind w:left="720"/>
      </w:pPr>
      <w:r>
        <w:rPr>
          <w:i/>
          <w:iCs/>
          <w:color w:val="555555"/>
          <w:sz w:val="20"/>
          <w:szCs w:val="20"/>
        </w:rPr>
        <w:t xml:space="preserve">MDPI (2025). Predictive Modelling of Credit Default Risk Using Machine Learning and Ensemble Techniques. Mathematics, 31(2), 45. Stacked Ensemble achieved AUC = 0.761.</w:t>
      </w:r>
    </w:p>
    <w:p>
      <w:pPr>
        <w:spacing w:before="120"/>
      </w:pPr>
      <w:r>
        <w:t xml:space="preserve"/>
      </w:r>
    </w:p>
    <w:p>
      <w:pPr>
        <w:pStyle w:val="Heading1"/>
        <w:spacing w:before="360" w:after="180"/>
      </w:pPr>
      <w:r>
        <w:rPr>
          <w:b/>
          <w:bCs/>
          <w:color w:val="1F4E79"/>
          <w:sz w:val="32"/>
          <w:szCs w:val="32"/>
        </w:rPr>
        <w:t xml:space="preserve">7. EXPLAINABILITY — SHAP &amp; LIME (MANDATORY FOR RESEARCH)</w:t>
      </w:r>
    </w:p>
    <w:p>
      <w:pPr>
        <w:pBdr>
          <w:bottom w:val="single" w:color="1F4E79" w:sz="6" w:space="1"/>
        </w:pBdr>
        <w:spacing w:before="120" w:after="120"/>
      </w:pPr>
    </w:p>
    <w:p>
      <w:pPr>
        <w:spacing w:before="60"/>
      </w:pPr>
      <w:r>
        <w:t xml:space="preserve"/>
      </w:r>
    </w:p>
    <w:p>
      <w:pPr>
        <w:spacing w:before="60" w:after="60"/>
      </w:pPr>
      <w:r>
        <w:rPr>
          <w:sz w:val="22"/>
          <w:szCs w:val="22"/>
        </w:rPr>
        <w:t xml:space="preserve">Regulatory bodies (Basel III, ECB, CFPB) and academic reviewers now require credit risk models to be explainable. SHAP (SHapley Additive exPlanations) is the gold standard technique. It is not optional for a research-grade model.</w:t>
      </w:r>
    </w:p>
    <w:p>
      <w:pPr>
        <w:spacing w:before="60"/>
      </w:pPr>
      <w:r>
        <w:t xml:space="preserve"/>
      </w:r>
    </w:p>
    <w:p>
      <w:pPr>
        <w:pStyle w:val="Heading2"/>
        <w:spacing w:before="240" w:after="120"/>
      </w:pPr>
      <w:r>
        <w:rPr>
          <w:b/>
          <w:bCs/>
          <w:color w:val="2E74B5"/>
          <w:sz w:val="26"/>
          <w:szCs w:val="26"/>
        </w:rPr>
        <w:t xml:space="preserve">7.1 What SHAP Does</w:t>
      </w:r>
    </w:p>
    <w:p>
      <w:pPr>
        <w:pStyle w:val="ListParagraph"/>
        <w:numPr>
          <w:ilvl w:val="0"/>
          <w:numId w:val="2"/>
        </w:numPr>
        <w:spacing w:before="40" w:after="40"/>
      </w:pPr>
      <w:r>
        <w:rPr>
          <w:sz w:val="22"/>
          <w:szCs w:val="22"/>
        </w:rPr>
        <w:t xml:space="preserve">Assigns each feature a contribution score for every individual prediction</w:t>
      </w:r>
    </w:p>
    <w:p>
      <w:pPr>
        <w:pStyle w:val="ListParagraph"/>
        <w:numPr>
          <w:ilvl w:val="0"/>
          <w:numId w:val="2"/>
        </w:numPr>
        <w:spacing w:before="40" w:after="40"/>
      </w:pPr>
      <w:r>
        <w:rPr>
          <w:sz w:val="22"/>
          <w:szCs w:val="22"/>
        </w:rPr>
        <w:t xml:space="preserve">SHAP Global: shows which features matter most across all companies</w:t>
      </w:r>
    </w:p>
    <w:p>
      <w:pPr>
        <w:pStyle w:val="ListParagraph"/>
        <w:numPr>
          <w:ilvl w:val="0"/>
          <w:numId w:val="2"/>
        </w:numPr>
        <w:spacing w:before="40" w:after="40"/>
      </w:pPr>
      <w:r>
        <w:rPr>
          <w:sz w:val="22"/>
          <w:szCs w:val="22"/>
        </w:rPr>
        <w:t xml:space="preserve">SHAP Local: shows WHY a specific company was classified as high-risk</w:t>
      </w:r>
    </w:p>
    <w:p>
      <w:pPr>
        <w:pStyle w:val="ListParagraph"/>
        <w:numPr>
          <w:ilvl w:val="0"/>
          <w:numId w:val="2"/>
        </w:numPr>
        <w:spacing w:before="40" w:after="40"/>
      </w:pPr>
      <w:r>
        <w:rPr>
          <w:sz w:val="22"/>
          <w:szCs w:val="22"/>
        </w:rPr>
        <w:t xml:space="preserve">Validates economic logic: Debt/EBITDA should have positive SHAP, Liquidity should have negative SHAP</w:t>
      </w:r>
    </w:p>
    <w:p>
      <w:pPr>
        <w:spacing w:before="60"/>
      </w:pPr>
      <w:r>
        <w:t xml:space="preserve"/>
      </w:r>
    </w:p>
    <w:p>
      <w:pPr>
        <w:pStyle w:val="Heading2"/>
        <w:spacing w:before="240" w:after="120"/>
      </w:pPr>
      <w:r>
        <w:rPr>
          <w:b/>
          <w:bCs/>
          <w:color w:val="2E74B5"/>
          <w:sz w:val="26"/>
          <w:szCs w:val="26"/>
        </w:rPr>
        <w:t xml:space="preserve">7.2 SHAP Outputs You Must Generate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SHAP Output</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What It Shows</w:t>
            </w:r>
          </w:p>
        </w:tc>
        <w:tc>
          <w:tcPr>
            <w:tcW w:type="dxa" w:w="3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Used In Presentation/Report</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SHAP Summary Plot (Beeswarm)</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Global feature importance + direction</w:t>
            </w:r>
          </w:p>
        </w:tc>
        <w:tc>
          <w:tcPr>
            <w:tcW w:type="dxa" w:w="3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Key figure in research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SHAP Bar Plot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Mean absolute SHAP values per feature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interpretation slide</w:t>
            </w:r>
          </w:p>
        </w:tc>
      </w:tr>
      <w:tr>
        <w:tc>
          <w:tcPr>
            <w:tcW w:type="dxa" w:w="2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SHAP Waterfall Plot</w:t>
            </w:r>
          </w:p>
        </w:tc>
        <w:tc>
          <w:tcPr>
            <w:tcW w:type="dxa" w:w="3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Individual company explanation</w:t>
            </w:r>
          </w:p>
        </w:tc>
        <w:tc>
          <w:tcPr>
            <w:tcW w:type="dxa" w:w="30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Case study / loan officer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SHAP Dependence Plot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Feature-SHAP relationship (non-linearity)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Advanced analysis</w:t>
            </w:r>
          </w:p>
        </w:tc>
      </w:tr>
    </w:tbl>
    <w:p>
      <w:pPr>
        <w:spacing w:before="60"/>
      </w:pPr>
      <w:r>
        <w:t xml:space="preserve"/>
      </w:r>
    </w:p>
    <w:p>
      <w:pPr>
        <w:spacing w:before="30" w:after="30"/>
        <w:ind w:left="720"/>
      </w:pPr>
      <w:r>
        <w:rPr>
          <w:i/>
          <w:iCs/>
          <w:color w:val="555555"/>
          <w:sz w:val="20"/>
          <w:szCs w:val="20"/>
        </w:rPr>
        <w:t xml:space="preserve">Lundberg, S.M. &amp; Lee, S.I. (2017). A unified approach to interpreting model predictions. NIPS. https://doi.org/10.48550/arXiv.1705.07874</w:t>
      </w:r>
    </w:p>
    <w:p>
      <w:pPr>
        <w:spacing w:before="30" w:after="30"/>
        <w:ind w:left="720"/>
      </w:pPr>
      <w:r>
        <w:rPr>
          <w:i/>
          <w:iCs/>
          <w:color w:val="555555"/>
          <w:sz w:val="20"/>
          <w:szCs w:val="20"/>
        </w:rPr>
        <w:t xml:space="preserve">Moradi, M. et al. (2024). Explainable artificial intelligence in finance: A systematic literature review. Artificial Intelligence Review.</w:t>
      </w:r>
    </w:p>
    <w:p>
      <w:pPr>
        <w:spacing w:before="30" w:after="30"/>
        <w:ind w:left="720"/>
      </w:pPr>
      <w:r>
        <w:rPr>
          <w:i/>
          <w:iCs/>
          <w:color w:val="555555"/>
          <w:sz w:val="20"/>
          <w:szCs w:val="20"/>
        </w:rPr>
        <w:t xml:space="preserve">Zhang, T. et al. (2023). An explainable financial risk early warning model based on the DS-XGBoost model. Finance Research Letters. — Combines XGBoost + SHAP for corporate financial distress.</w:t>
      </w:r>
    </w:p>
    <w:p>
      <w:pPr>
        <w:spacing w:before="60"/>
      </w:pPr>
      <w:r>
        <w:t xml:space="preserve"/>
      </w:r>
    </w:p>
    <w:p>
      <w:pPr>
        <w:spacing w:before="60" w:after="60"/>
      </w:pPr>
      <w:r>
        <w:rPr>
          <w:sz w:val="22"/>
          <w:szCs w:val="22"/>
        </w:rPr>
        <w:t xml:space="preserve">LIME (Local Interpretable Model-agnostic Explanations) is a complementary technique. Use SHAP as primary and LIME as secondary validation. Reference: Ribeiro et al. (2016).</w:t>
      </w:r>
    </w:p>
    <w:p>
      <w:pPr>
        <w:spacing w:before="120"/>
      </w:pPr>
      <w:r>
        <w:t xml:space="preserve"/>
      </w:r>
    </w:p>
    <w:p>
      <w:pPr>
        <w:pStyle w:val="Heading1"/>
        <w:spacing w:before="360" w:after="180"/>
      </w:pPr>
      <w:r>
        <w:rPr>
          <w:b/>
          <w:bCs/>
          <w:color w:val="1F4E79"/>
          <w:sz w:val="32"/>
          <w:szCs w:val="32"/>
        </w:rPr>
        <w:t xml:space="preserve">8. MODEL EVALUATION FRAMEWORK</w:t>
      </w:r>
    </w:p>
    <w:p>
      <w:pPr>
        <w:pBdr>
          <w:bottom w:val="single" w:color="1F4E79" w:sz="6" w:space="1"/>
        </w:pBdr>
        <w:spacing w:before="120" w:after="120"/>
      </w:pPr>
    </w:p>
    <w:p>
      <w:pPr>
        <w:spacing w:before="60"/>
      </w:pPr>
      <w:r>
        <w:t xml:space="preserve"/>
      </w:r>
    </w:p>
    <w:p>
      <w:pPr>
        <w:spacing w:before="60" w:after="60"/>
      </w:pPr>
      <w:r>
        <w:rPr>
          <w:sz w:val="22"/>
          <w:szCs w:val="22"/>
        </w:rPr>
        <w:t xml:space="preserve">All models must be evaluated on the same metrics to enable fair comparison. Do not rely on accuracy alone — it is misleading for imbalanced datasets.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880"/>
        <w:gridCol w:w="1880"/>
      </w:tblGrid>
      <w:t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Metric</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Importance</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(Good)</w:t>
            </w:r>
          </w:p>
        </w:tc>
        <w:tc>
          <w:tcPr>
            <w:tcW w:type="dxa" w:w="18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Target (Excellent)</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AUC-ROC</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PRIMARY METRIC — Discriminatory power</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0.70</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0.80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KS Statistic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Separation between defaulters/non-defaulters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0.30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0.45</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Precision</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Accuracy of default predictions</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0.65</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Recall / Sensitivity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How many real defaults are caught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0.60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0.75</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F1 Score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Balance of Precision and Recall</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0.65</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&gt; 0.75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Gini Coefficient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2 * AUC - 1; used in Basel III</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0.40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&gt; 0.60</w:t>
            </w:r>
          </w:p>
        </w:tc>
      </w:tr>
      <w:tr>
        <w:tc>
          <w:tcPr>
            <w:tcW w:type="dxa" w:w="2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Brier Score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Calibration of probability estimates</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&lt; 0.15</w:t>
            </w:r>
          </w:p>
        </w:tc>
        <w:tc>
          <w:tcPr>
            <w:tcW w:type="dxa" w:w="18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&lt; 0.10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McNemar / Friedman 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Statistical significance of model differences</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 &lt; 0.05</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 &lt; 0.01</w:t>
            </w:r>
          </w:p>
        </w:tc>
      </w:tr>
    </w:tbl>
    <w:p>
      <w:pPr>
        <w:spacing w:before="60"/>
      </w:pPr>
      <w:r>
        <w:t xml:space="preserve"/>
      </w:r>
    </w:p>
    <w:p>
      <w:pPr>
        <w:spacing w:before="30" w:after="30"/>
        <w:ind w:left="720"/>
      </w:pPr>
      <w:r>
        <w:rPr>
          <w:i/>
          <w:iCs/>
          <w:color w:val="555555"/>
          <w:sz w:val="20"/>
          <w:szCs w:val="20"/>
        </w:rPr>
        <w:t xml:space="preserve">Lessmann, S. et al. (2015). Benchmarking state-of-the-art classification algorithms for credit scoring. European Journal of Operational Research, 247(1), 124-136.</w:t>
      </w:r>
    </w:p>
    <w:p>
      <w:pPr>
        <w:spacing w:before="30" w:after="30"/>
        <w:ind w:left="720"/>
      </w:pPr>
      <w:r>
        <w:rPr>
          <w:i/>
          <w:iCs/>
          <w:color w:val="555555"/>
          <w:sz w:val="20"/>
          <w:szCs w:val="20"/>
        </w:rPr>
        <w:t xml:space="preserve">MDPI (2025). Predictive Modelling of Credit Default Risk. Uses McNemar's and Friedman's tests for statistical significance of AUC differences.</w:t>
      </w:r>
    </w:p>
    <w:p>
      <w:pPr>
        <w:spacing w:before="120"/>
      </w:pPr>
      <w:r>
        <w:t xml:space="preserve"/>
      </w:r>
    </w:p>
    <w:p>
      <w:pPr>
        <w:pStyle w:val="Heading1"/>
        <w:spacing w:before="360" w:after="180"/>
      </w:pPr>
      <w:r>
        <w:rPr>
          <w:b/>
          <w:bCs/>
          <w:color w:val="1F4E79"/>
          <w:sz w:val="32"/>
          <w:szCs w:val="32"/>
        </w:rPr>
        <w:t xml:space="preserve">9. PHASE 2 — ESG-AUGMENTED MODEL</w:t>
      </w:r>
    </w:p>
    <w:p>
      <w:pPr>
        <w:pBdr>
          <w:bottom w:val="single" w:color="1F4E79" w:sz="6" w:space="1"/>
        </w:pBdr>
        <w:spacing w:before="120" w:after="120"/>
      </w:pPr>
    </w:p>
    <w:p>
      <w:pPr>
        <w:spacing w:before="60"/>
      </w:pPr>
      <w:r>
        <w:t xml:space="preserve"/>
      </w:r>
    </w:p>
    <w:p>
      <w:pPr>
        <w:spacing w:before="60" w:after="60"/>
      </w:pPr>
      <w:r>
        <w:rPr>
          <w:sz w:val="22"/>
          <w:szCs w:val="22"/>
        </w:rPr>
        <w:t xml:space="preserve">Once Phase 1 is complete and validated, Phase 2 adds ESG variables to the best-performing base model (likely XGBoost or Stacking Ensemble). This is where your research becomes truly unique and publishable.</w:t>
      </w:r>
    </w:p>
    <w:p>
      <w:pPr>
        <w:spacing w:before="60"/>
      </w:pPr>
      <w:r>
        <w:t xml:space="preserve"/>
      </w:r>
    </w:p>
    <w:p>
      <w:pPr>
        <w:pStyle w:val="Heading2"/>
        <w:spacing w:before="240" w:after="120"/>
      </w:pPr>
      <w:r>
        <w:rPr>
          <w:b/>
          <w:bCs/>
          <w:color w:val="2E74B5"/>
          <w:sz w:val="26"/>
          <w:szCs w:val="26"/>
        </w:rPr>
        <w:t xml:space="preserve">9.1 ESG Variables in Your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ESG Field</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ESG Dimension</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What it Measures</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Expected Effect on PD</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 Women on Bd:Y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Governance (G)</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Board diversity — proxy for governance quality</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Higher % -&gt; Lower PD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GHG Scope 1:Y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Environmental (E)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greenhouse gas emissions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emissions -&gt; Higher PD</w:t>
            </w:r>
          </w:p>
        </w:tc>
      </w:tr>
      <w:tr>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GHG Scope 3:Y</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Environmental (E)</w:t>
            </w:r>
          </w:p>
        </w:tc>
        <w:tc>
          <w:tcPr>
            <w:tcW w:type="dxa" w:w="3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Indirect / supply chain emissions</w:t>
            </w:r>
          </w:p>
        </w:tc>
        <w:tc>
          <w:tcPr>
            <w:tcW w:type="dxa" w:w="2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Higher emissions -&gt; Higher PD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CO2 Scope 1:Y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Environmental (E)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CO2 equivalent emissions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CO2 -&gt; Higher PD</w:t>
            </w:r>
          </w:p>
        </w:tc>
      </w:tr>
    </w:tbl>
    <w:p>
      <w:pPr>
        <w:spacing w:before="60"/>
      </w:pPr>
      <w:r>
        <w:t xml:space="preserve"/>
      </w:r>
    </w:p>
    <w:p>
      <w:pPr>
        <w:pStyle w:val="Heading2"/>
        <w:spacing w:before="240" w:after="120"/>
      </w:pPr>
      <w:r>
        <w:rPr>
          <w:b/>
          <w:bCs/>
          <w:color w:val="2E74B5"/>
          <w:sz w:val="26"/>
          <w:szCs w:val="26"/>
        </w:rPr>
        <w:t xml:space="preserve">9.2 Research Evidence That ESG Reduces Default Risk</w:t>
      </w:r>
    </w:p>
    <w:p>
      <w:pPr>
        <w:pStyle w:val="ListParagraph"/>
        <w:numPr>
          <w:ilvl w:val="0"/>
          <w:numId w:val="2"/>
        </w:numPr>
        <w:spacing w:before="40" w:after="40"/>
      </w:pPr>
      <w:r>
        <w:rPr>
          <w:sz w:val="22"/>
          <w:szCs w:val="22"/>
        </w:rPr>
        <w:t xml:space="preserve">ESG performance significantly reduces corporate default probability (Wu &amp; Xie, 2024)</w:t>
      </w:r>
    </w:p>
    <w:p>
      <w:pPr>
        <w:pStyle w:val="ListParagraph"/>
        <w:numPr>
          <w:ilvl w:val="0"/>
          <w:numId w:val="2"/>
        </w:numPr>
        <w:spacing w:before="40" w:after="40"/>
      </w:pPr>
      <w:r>
        <w:rPr>
          <w:sz w:val="22"/>
          <w:szCs w:val="22"/>
        </w:rPr>
        <w:t xml:space="preserve">One standard deviation increase in ESG score reduces PD by 4-15 basis points (Banca d'Italia, 2026)</w:t>
      </w:r>
    </w:p>
    <w:p>
      <w:pPr>
        <w:pStyle w:val="ListParagraph"/>
        <w:numPr>
          <w:ilvl w:val="0"/>
          <w:numId w:val="2"/>
        </w:numPr>
        <w:spacing w:before="40" w:after="40"/>
      </w:pPr>
      <w:r>
        <w:rPr>
          <w:sz w:val="22"/>
          <w:szCs w:val="22"/>
        </w:rPr>
        <w:t xml:space="preserve">Governance factors (board diversity, transparency) have the strongest near-term credit impact</w:t>
      </w:r>
    </w:p>
    <w:p>
      <w:pPr>
        <w:pStyle w:val="ListParagraph"/>
        <w:numPr>
          <w:ilvl w:val="0"/>
          <w:numId w:val="2"/>
        </w:numPr>
        <w:spacing w:before="40" w:after="40"/>
      </w:pPr>
      <w:r>
        <w:rPr>
          <w:sz w:val="22"/>
          <w:szCs w:val="22"/>
        </w:rPr>
        <w:t xml:space="preserve">Environmental factors (GHG emissions) matter most at longer time horizons (5-10 year PD)</w:t>
      </w:r>
    </w:p>
    <w:p>
      <w:pPr>
        <w:spacing w:before="60"/>
      </w:pPr>
      <w:r>
        <w:t xml:space="preserve"/>
      </w:r>
    </w:p>
    <w:p>
      <w:pPr>
        <w:spacing w:before="30" w:after="30"/>
        <w:ind w:left="720"/>
      </w:pPr>
      <w:r>
        <w:rPr>
          <w:i/>
          <w:iCs/>
          <w:color w:val="555555"/>
          <w:sz w:val="20"/>
          <w:szCs w:val="20"/>
        </w:rPr>
        <w:t xml:space="preserve">Wu, M. &amp; Xie, D. (2024). The impact of ESG performance on the credit risk of listed companies. Green Finance, 6(2), 199-218. https://doi.org/10.3934/GF.2024008</w:t>
      </w:r>
    </w:p>
    <w:p>
      <w:pPr>
        <w:spacing w:before="30" w:after="30"/>
        <w:ind w:left="720"/>
      </w:pPr>
      <w:r>
        <w:rPr>
          <w:i/>
          <w:iCs/>
          <w:color w:val="555555"/>
          <w:sz w:val="20"/>
          <w:szCs w:val="20"/>
        </w:rPr>
        <w:t xml:space="preserve">Carbone, S. et al. (2026). ESG risks and corporate viability: Insights from default probability term structure analysis. International Review of Financial Analysis. Banca d'Italia research.</w:t>
      </w:r>
    </w:p>
    <w:p>
      <w:pPr>
        <w:spacing w:before="30" w:after="30"/>
        <w:ind w:left="720"/>
      </w:pPr>
      <w:r>
        <w:rPr>
          <w:i/>
          <w:iCs/>
          <w:color w:val="555555"/>
          <w:sz w:val="20"/>
          <w:szCs w:val="20"/>
        </w:rPr>
        <w:t xml:space="preserve">Liu, Z. et al. (2025). Prediction of corporate default risk considering ESG performance and unbalanced samples. ScienceDirect. Uses Stacking + Focal Loss.</w:t>
      </w:r>
    </w:p>
    <w:p>
      <w:pPr>
        <w:spacing w:before="30" w:after="30"/>
        <w:ind w:left="720"/>
      </w:pPr>
      <w:r>
        <w:rPr>
          <w:i/>
          <w:iCs/>
          <w:color w:val="555555"/>
          <w:sz w:val="20"/>
          <w:szCs w:val="20"/>
        </w:rPr>
        <w:t xml:space="preserve">Emerald (2026). ESG rating divergence and corporate credit risk. Journal of Risk Finance, 27(1). Panel of 562 firms 2017-2022.</w:t>
      </w:r>
    </w:p>
    <w:p>
      <w:pPr>
        <w:spacing w:before="60"/>
      </w:pPr>
      <w:r>
        <w:t xml:space="preserve"/>
      </w:r>
    </w:p>
    <w:p>
      <w:pPr>
        <w:pStyle w:val="Heading2"/>
        <w:spacing w:before="240" w:after="120"/>
      </w:pPr>
      <w:r>
        <w:rPr>
          <w:b/>
          <w:bCs/>
          <w:color w:val="2E74B5"/>
          <w:sz w:val="26"/>
          <w:szCs w:val="26"/>
        </w:rPr>
        <w:t xml:space="preserve">9.3 ESG Feature Engineering</w:t>
      </w:r>
    </w:p>
    <w:p>
      <w:pPr>
        <w:pStyle w:val="ListParagraph"/>
        <w:numPr>
          <w:ilvl w:val="0"/>
          <w:numId w:val="2"/>
        </w:numPr>
        <w:spacing w:before="40" w:after="40"/>
      </w:pPr>
      <w:r>
        <w:rPr>
          <w:sz w:val="22"/>
          <w:szCs w:val="22"/>
        </w:rPr>
        <w:t xml:space="preserve">GHG Intensity = GHG Scope 1 / Revenue (normalize for firm size)</w:t>
      </w:r>
    </w:p>
    <w:p>
      <w:pPr>
        <w:pStyle w:val="ListParagraph"/>
        <w:numPr>
          <w:ilvl w:val="0"/>
          <w:numId w:val="2"/>
        </w:numPr>
        <w:spacing w:before="40" w:after="40"/>
      </w:pPr>
      <w:r>
        <w:rPr>
          <w:sz w:val="22"/>
          <w:szCs w:val="22"/>
        </w:rPr>
        <w:t xml:space="preserve">CO2 Intensity = CO2 Scope 1 / Total Assets</w:t>
      </w:r>
    </w:p>
    <w:p>
      <w:pPr>
        <w:pStyle w:val="ListParagraph"/>
        <w:numPr>
          <w:ilvl w:val="0"/>
          <w:numId w:val="2"/>
        </w:numPr>
        <w:spacing w:before="40" w:after="40"/>
      </w:pPr>
      <w:r>
        <w:rPr>
          <w:sz w:val="22"/>
          <w:szCs w:val="22"/>
        </w:rPr>
        <w:t xml:space="preserve">Governance Score = % Women on Board (normalize to 0-1 scale)</w:t>
      </w:r>
    </w:p>
    <w:p>
      <w:pPr>
        <w:pStyle w:val="ListParagraph"/>
        <w:numPr>
          <w:ilvl w:val="0"/>
          <w:numId w:val="2"/>
        </w:numPr>
        <w:spacing w:before="40" w:after="40"/>
      </w:pPr>
      <w:r>
        <w:rPr>
          <w:sz w:val="22"/>
          <w:szCs w:val="22"/>
        </w:rPr>
        <w:t xml:space="preserve">ESG Composite = weighted average of E, S, G dimensions (equal weight as baseline)</w:t>
      </w:r>
    </w:p>
    <w:p>
      <w:pPr>
        <w:pStyle w:val="ListParagraph"/>
        <w:numPr>
          <w:ilvl w:val="0"/>
          <w:numId w:val="2"/>
        </w:numPr>
        <w:spacing w:before="40" w:after="40"/>
      </w:pPr>
      <w:r>
        <w:rPr>
          <w:sz w:val="22"/>
          <w:szCs w:val="22"/>
        </w:rPr>
        <w:t xml:space="preserve">ESG x Leverage Interaction = Debt/EBITDA * GHG Intensity (captures amplification effect)</w:t>
      </w:r>
    </w:p>
    <w:p>
      <w:pPr>
        <w:spacing w:before="60"/>
      </w:pPr>
      <w:r>
        <w:t xml:space="preserve"/>
      </w:r>
    </w:p>
    <w:p>
      <w:pPr>
        <w:pStyle w:val="Heading2"/>
        <w:spacing w:before="240" w:after="120"/>
      </w:pPr>
      <w:r>
        <w:rPr>
          <w:b/>
          <w:bCs/>
          <w:color w:val="2E74B5"/>
          <w:sz w:val="26"/>
          <w:szCs w:val="26"/>
        </w:rPr>
        <w:t xml:space="preserve">9.4 Model Comparison Framework (Phase 1 vs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60"/>
        <w:gridCol w:w="200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Comparison Point</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Base Model (Phase 1)</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ESG Model (Phase 2)</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Statistical Test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AUC-ROC</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Record base AUC</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Record ESG AUC</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DeLong's AUC comparison 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Importance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Financial drivers dominate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adds incremental signal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SHAP delta analysis</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SHAP ESG Contribution</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N/A</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SHAP values &gt; 0</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Visual + quantitative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Misclassification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 false negatives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reduces false negatives?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McNemar test</w:t>
            </w:r>
          </w:p>
        </w:tc>
      </w:tr>
      <w:tr>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Brier Score</w:t>
            </w:r>
          </w:p>
        </w:tc>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Record calibration</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ESG improves calibration?</w:t>
            </w:r>
          </w:p>
        </w:tc>
        <w:tc>
          <w:tcPr>
            <w:tcW w:type="dxa" w:w="2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Bootstrap CI</w:t>
            </w:r>
          </w:p>
        </w:tc>
      </w:tr>
    </w:tbl>
    <w:p>
      <w:pPr>
        <w:spacing w:before="120"/>
      </w:pPr>
      <w:r>
        <w:t xml:space="preserve"/>
      </w:r>
    </w:p>
    <w:p>
      <w:pPr>
        <w:pStyle w:val="Heading1"/>
        <w:spacing w:before="360" w:after="180"/>
      </w:pPr>
      <w:r>
        <w:rPr>
          <w:b/>
          <w:bCs/>
          <w:color w:val="1F4E79"/>
          <w:sz w:val="32"/>
          <w:szCs w:val="32"/>
        </w:rPr>
        <w:t xml:space="preserve">10. COMPLETE STEP-BY-STEP IMPLEMENTATION PLAN</w:t>
      </w:r>
    </w:p>
    <w:p>
      <w:pPr>
        <w:pBdr>
          <w:bottom w:val="single" w:color="1F4E79" w:sz="6" w:space="1"/>
        </w:pBdr>
        <w:spacing w:before="120" w:after="120"/>
      </w:pPr>
    </w:p>
    <w:p>
      <w:pPr>
        <w:spacing w:before="60"/>
      </w:pPr>
      <w:r>
        <w:t xml:space="preserve"/>
      </w:r>
    </w:p>
    <w:p>
      <w:pPr>
        <w:pStyle w:val="Heading2"/>
        <w:spacing w:before="240" w:after="120"/>
      </w:pPr>
      <w:r>
        <w:rPr>
          <w:b/>
          <w:bCs/>
          <w:color w:val="2E74B5"/>
          <w:sz w:val="26"/>
          <w:szCs w:val="26"/>
        </w:rPr>
        <w:t xml:space="preserve">PHASE 1 — Base Model Implementation</w:t>
      </w:r>
    </w:p>
    <w:p>
      <w:pPr>
        <w:spacing w:before="60"/>
      </w:pPr>
      <w:r>
        <w:t xml:space="preserve"/>
      </w:r>
    </w:p>
    <w:p>
      <w:pPr>
        <w:pStyle w:val="Heading3"/>
        <w:spacing w:before="180" w:after="60"/>
      </w:pPr>
      <w:r>
        <w:rPr>
          <w:b/>
          <w:bCs/>
          <w:color w:val="2E74B5"/>
          <w:sz w:val="24"/>
          <w:szCs w:val="24"/>
        </w:rPr>
        <w:t xml:space="preserve">Step 1: Data Loading &amp; Exploration (Day 1)</w:t>
      </w:r>
    </w:p>
    <w:p>
      <w:pPr>
        <w:pStyle w:val="ListParagraph"/>
        <w:numPr>
          <w:ilvl w:val="0"/>
          <w:numId w:val="3"/>
        </w:numPr>
        <w:spacing w:before="40" w:after="40"/>
      </w:pPr>
      <w:r>
        <w:rPr>
          <w:sz w:val="22"/>
          <w:szCs w:val="22"/>
        </w:rPr>
        <w:t xml:space="preserve">Load dataset into pandas DataFrame</w:t>
      </w:r>
    </w:p>
    <w:p>
      <w:pPr>
        <w:pStyle w:val="ListParagraph"/>
        <w:numPr>
          <w:ilvl w:val="0"/>
          <w:numId w:val="3"/>
        </w:numPr>
        <w:spacing w:before="40" w:after="40"/>
      </w:pPr>
      <w:r>
        <w:rPr>
          <w:sz w:val="22"/>
          <w:szCs w:val="22"/>
        </w:rPr>
        <w:t xml:space="preserve">Check shape, dtypes, null counts for all 25 fields</w:t>
      </w:r>
    </w:p>
    <w:p>
      <w:pPr>
        <w:pStyle w:val="ListParagraph"/>
        <w:numPr>
          <w:ilvl w:val="0"/>
          <w:numId w:val="3"/>
        </w:numPr>
        <w:spacing w:before="40" w:after="40"/>
      </w:pPr>
      <w:r>
        <w:rPr>
          <w:sz w:val="22"/>
          <w:szCs w:val="22"/>
        </w:rPr>
        <w:t xml:space="preserve">Print descriptive statistics (mean, std, min, max, skewness)</w:t>
      </w:r>
    </w:p>
    <w:p>
      <w:pPr>
        <w:pStyle w:val="ListParagraph"/>
        <w:numPr>
          <w:ilvl w:val="0"/>
          <w:numId w:val="3"/>
        </w:numPr>
        <w:spacing w:before="40" w:after="40"/>
      </w:pPr>
      <w:r>
        <w:rPr>
          <w:sz w:val="22"/>
          <w:szCs w:val="22"/>
        </w:rPr>
        <w:t xml:space="preserve">Plot distribution of AZS — understand how many companies are in distress zone</w:t>
      </w:r>
    </w:p>
    <w:p>
      <w:pPr>
        <w:pStyle w:val="ListParagraph"/>
        <w:numPr>
          <w:ilvl w:val="0"/>
          <w:numId w:val="3"/>
        </w:numPr>
        <w:spacing w:before="40" w:after="40"/>
      </w:pPr>
      <w:r>
        <w:rPr>
          <w:sz w:val="22"/>
          <w:szCs w:val="22"/>
        </w:rPr>
        <w:t xml:space="preserve">Calculate class balance: count(AZS &lt; 1.8) vs count(AZS &gt;= 1.8)</w:t>
      </w:r>
    </w:p>
    <w:p>
      <w:pPr>
        <w:spacing w:before="60"/>
      </w:pPr>
      <w:r>
        <w:t xml:space="preserve"/>
      </w:r>
    </w:p>
    <w:p>
      <w:pPr>
        <w:pStyle w:val="Heading3"/>
        <w:spacing w:before="180" w:after="60"/>
      </w:pPr>
      <w:r>
        <w:rPr>
          <w:b/>
          <w:bCs/>
          <w:color w:val="2E74B5"/>
          <w:sz w:val="24"/>
          <w:szCs w:val="24"/>
        </w:rPr>
        <w:t xml:space="preserve">Step 2: Target Variable Construction (Day 1)</w:t>
      </w:r>
    </w:p>
    <w:p>
      <w:pPr>
        <w:pStyle w:val="ListParagraph"/>
        <w:numPr>
          <w:ilvl w:val="0"/>
          <w:numId w:val="3"/>
        </w:numPr>
        <w:spacing w:before="40" w:after="40"/>
      </w:pPr>
      <w:r>
        <w:rPr>
          <w:sz w:val="22"/>
          <w:szCs w:val="22"/>
        </w:rPr>
        <w:t xml:space="preserve">Create binary column: df['Default'] = (df['AZS'] &lt; 1.8).astype(int)</w:t>
      </w:r>
    </w:p>
    <w:p>
      <w:pPr>
        <w:pStyle w:val="ListParagraph"/>
        <w:numPr>
          <w:ilvl w:val="0"/>
          <w:numId w:val="3"/>
        </w:numPr>
        <w:spacing w:before="40" w:after="40"/>
      </w:pPr>
      <w:r>
        <w:rPr>
          <w:sz w:val="22"/>
          <w:szCs w:val="22"/>
        </w:rPr>
        <w:t xml:space="preserve">Print value_counts() — note the class ratio</w:t>
      </w:r>
    </w:p>
    <w:p>
      <w:pPr>
        <w:pStyle w:val="ListParagraph"/>
        <w:numPr>
          <w:ilvl w:val="0"/>
          <w:numId w:val="3"/>
        </w:numPr>
        <w:spacing w:before="40" w:after="40"/>
      </w:pPr>
      <w:r>
        <w:rPr>
          <w:sz w:val="22"/>
          <w:szCs w:val="22"/>
        </w:rPr>
        <w:t xml:space="preserve">Visualize with bar chart — document the imbalance ratio</w:t>
      </w:r>
    </w:p>
    <w:p>
      <w:pPr>
        <w:spacing w:before="60"/>
      </w:pPr>
      <w:r>
        <w:t xml:space="preserve"/>
      </w:r>
    </w:p>
    <w:p>
      <w:pPr>
        <w:pStyle w:val="Heading3"/>
        <w:spacing w:before="180" w:after="60"/>
      </w:pPr>
      <w:r>
        <w:rPr>
          <w:b/>
          <w:bCs/>
          <w:color w:val="2E74B5"/>
          <w:sz w:val="24"/>
          <w:szCs w:val="24"/>
        </w:rPr>
        <w:t xml:space="preserve">Step 3: Feature Engineering (Day 2)</w:t>
      </w:r>
    </w:p>
    <w:p>
      <w:pPr>
        <w:pStyle w:val="ListParagraph"/>
        <w:numPr>
          <w:ilvl w:val="0"/>
          <w:numId w:val="3"/>
        </w:numPr>
        <w:spacing w:before="40" w:after="40"/>
      </w:pPr>
      <w:r>
        <w:rPr>
          <w:sz w:val="22"/>
          <w:szCs w:val="22"/>
        </w:rPr>
        <w:t xml:space="preserve">Create: Asset_Utilization = Revenue_T12M / Tot_Assets_LF</w:t>
      </w:r>
    </w:p>
    <w:p>
      <w:pPr>
        <w:pStyle w:val="ListParagraph"/>
        <w:numPr>
          <w:ilvl w:val="0"/>
          <w:numId w:val="3"/>
        </w:numPr>
        <w:spacing w:before="40" w:after="40"/>
      </w:pPr>
      <w:r>
        <w:rPr>
          <w:sz w:val="22"/>
          <w:szCs w:val="22"/>
        </w:rPr>
        <w:t xml:space="preserve">Create: Earnings_Quality = FCF_T12M / EBITDA_T12M (handle division by zero)</w:t>
      </w:r>
    </w:p>
    <w:p>
      <w:pPr>
        <w:pStyle w:val="ListParagraph"/>
        <w:numPr>
          <w:ilvl w:val="0"/>
          <w:numId w:val="3"/>
        </w:numPr>
        <w:spacing w:before="40" w:after="40"/>
      </w:pPr>
      <w:r>
        <w:rPr>
          <w:sz w:val="22"/>
          <w:szCs w:val="22"/>
        </w:rPr>
        <w:t xml:space="preserve">Create: Profitability_Ratio = EBIT_T12M / Tot_Assets_LF</w:t>
      </w:r>
    </w:p>
    <w:p>
      <w:pPr>
        <w:pStyle w:val="ListParagraph"/>
        <w:numPr>
          <w:ilvl w:val="0"/>
          <w:numId w:val="3"/>
        </w:numPr>
        <w:spacing w:before="40" w:after="40"/>
      </w:pPr>
      <w:r>
        <w:rPr>
          <w:sz w:val="22"/>
          <w:szCs w:val="22"/>
        </w:rPr>
        <w:t xml:space="preserve">Create: Market_to_Book = Market_Cap / Tot_Assets_LF</w:t>
      </w:r>
    </w:p>
    <w:p>
      <w:pPr>
        <w:pStyle w:val="ListParagraph"/>
        <w:numPr>
          <w:ilvl w:val="0"/>
          <w:numId w:val="3"/>
        </w:numPr>
        <w:spacing w:before="40" w:after="40"/>
      </w:pPr>
      <w:r>
        <w:rPr>
          <w:sz w:val="22"/>
          <w:szCs w:val="22"/>
        </w:rPr>
        <w:t xml:space="preserve">Create: Liquidity_Spread = Curr_Ratio_LF - Quick_Ratio_LF</w:t>
      </w:r>
    </w:p>
    <w:p>
      <w:pPr>
        <w:pStyle w:val="ListParagraph"/>
        <w:numPr>
          <w:ilvl w:val="0"/>
          <w:numId w:val="3"/>
        </w:numPr>
        <w:spacing w:before="40" w:after="40"/>
      </w:pPr>
      <w:r>
        <w:rPr>
          <w:sz w:val="22"/>
          <w:szCs w:val="22"/>
        </w:rPr>
        <w:t xml:space="preserve">Drop AZS from features (it is the source of target — data leakage prevention)</w:t>
      </w:r>
    </w:p>
    <w:p>
      <w:pPr>
        <w:spacing w:before="60"/>
      </w:pPr>
      <w:r>
        <w:t xml:space="preserve"/>
      </w:r>
    </w:p>
    <w:p>
      <w:pPr>
        <w:pStyle w:val="Heading3"/>
        <w:spacing w:before="180" w:after="60"/>
      </w:pPr>
      <w:r>
        <w:rPr>
          <w:b/>
          <w:bCs/>
          <w:color w:val="2E74B5"/>
          <w:sz w:val="24"/>
          <w:szCs w:val="24"/>
        </w:rPr>
        <w:t xml:space="preserve">Step 4: Preprocessing (Day 2)</w:t>
      </w:r>
    </w:p>
    <w:p>
      <w:pPr>
        <w:pStyle w:val="ListParagraph"/>
        <w:numPr>
          <w:ilvl w:val="0"/>
          <w:numId w:val="3"/>
        </w:numPr>
        <w:spacing w:before="40" w:after="40"/>
      </w:pPr>
      <w:r>
        <w:rPr>
          <w:sz w:val="22"/>
          <w:szCs w:val="22"/>
        </w:rPr>
        <w:t xml:space="preserve">Drop identifier columns (Ticker, Name)</w:t>
      </w:r>
    </w:p>
    <w:p>
      <w:pPr>
        <w:pStyle w:val="ListParagraph"/>
        <w:numPr>
          <w:ilvl w:val="0"/>
          <w:numId w:val="3"/>
        </w:numPr>
        <w:spacing w:before="40" w:after="40"/>
      </w:pPr>
      <w:r>
        <w:rPr>
          <w:sz w:val="22"/>
          <w:szCs w:val="22"/>
        </w:rPr>
        <w:t xml:space="preserve">Impute missing values with column median</w:t>
      </w:r>
    </w:p>
    <w:p>
      <w:pPr>
        <w:pStyle w:val="ListParagraph"/>
        <w:numPr>
          <w:ilvl w:val="0"/>
          <w:numId w:val="3"/>
        </w:numPr>
        <w:spacing w:before="40" w:after="40"/>
      </w:pPr>
      <w:r>
        <w:rPr>
          <w:sz w:val="22"/>
          <w:szCs w:val="22"/>
        </w:rPr>
        <w:t xml:space="preserve">Winsorize all continuous variables at 1st-99th percentile</w:t>
      </w:r>
    </w:p>
    <w:p>
      <w:pPr>
        <w:pStyle w:val="ListParagraph"/>
        <w:numPr>
          <w:ilvl w:val="0"/>
          <w:numId w:val="3"/>
        </w:numPr>
        <w:spacing w:before="40" w:after="40"/>
      </w:pPr>
      <w:r>
        <w:rPr>
          <w:sz w:val="22"/>
          <w:szCs w:val="22"/>
        </w:rPr>
        <w:t xml:space="preserve">Split: X (features) and y (Default column)</w:t>
      </w:r>
    </w:p>
    <w:p>
      <w:pPr>
        <w:pStyle w:val="ListParagraph"/>
        <w:numPr>
          <w:ilvl w:val="0"/>
          <w:numId w:val="3"/>
        </w:numPr>
        <w:spacing w:before="40" w:after="40"/>
      </w:pPr>
      <w:r>
        <w:rPr>
          <w:sz w:val="22"/>
          <w:szCs w:val="22"/>
        </w:rPr>
        <w:t xml:space="preserve">Train-test split: test_size=0.2, stratify=y, random_state=42</w:t>
      </w:r>
    </w:p>
    <w:p>
      <w:pPr>
        <w:pStyle w:val="ListParagraph"/>
        <w:numPr>
          <w:ilvl w:val="0"/>
          <w:numId w:val="3"/>
        </w:numPr>
        <w:spacing w:before="40" w:after="40"/>
      </w:pPr>
      <w:r>
        <w:rPr>
          <w:sz w:val="22"/>
          <w:szCs w:val="22"/>
        </w:rPr>
        <w:t xml:space="preserve">Apply StandardScaler: fit on X_train only, transform both X_train and X_test</w:t>
      </w:r>
    </w:p>
    <w:p>
      <w:pPr>
        <w:spacing w:before="60"/>
      </w:pPr>
      <w:r>
        <w:t xml:space="preserve"/>
      </w:r>
    </w:p>
    <w:p>
      <w:pPr>
        <w:pStyle w:val="Heading3"/>
        <w:spacing w:before="180" w:after="60"/>
      </w:pPr>
      <w:r>
        <w:rPr>
          <w:b/>
          <w:bCs/>
          <w:color w:val="2E74B5"/>
          <w:sz w:val="24"/>
          <w:szCs w:val="24"/>
        </w:rPr>
        <w:t xml:space="preserve">Step 5: Model Training (Days 3-4)</w:t>
      </w:r>
    </w:p>
    <w:p>
      <w:pPr>
        <w:pStyle w:val="ListParagraph"/>
        <w:numPr>
          <w:ilvl w:val="0"/>
          <w:numId w:val="3"/>
        </w:numPr>
        <w:spacing w:before="40" w:after="40"/>
      </w:pPr>
      <w:r>
        <w:rPr>
          <w:sz w:val="22"/>
          <w:szCs w:val="22"/>
        </w:rPr>
        <w:t xml:space="preserve">Train Logistic Regression — record AUC, Precision, Recall, F1</w:t>
      </w:r>
    </w:p>
    <w:p>
      <w:pPr>
        <w:pStyle w:val="ListParagraph"/>
        <w:numPr>
          <w:ilvl w:val="0"/>
          <w:numId w:val="3"/>
        </w:numPr>
        <w:spacing w:before="40" w:after="40"/>
      </w:pPr>
      <w:r>
        <w:rPr>
          <w:sz w:val="22"/>
          <w:szCs w:val="22"/>
        </w:rPr>
        <w:t xml:space="preserve">Train Random Forest — record metrics, plot feature importance</w:t>
      </w:r>
    </w:p>
    <w:p>
      <w:pPr>
        <w:pStyle w:val="ListParagraph"/>
        <w:numPr>
          <w:ilvl w:val="0"/>
          <w:numId w:val="3"/>
        </w:numPr>
        <w:spacing w:before="40" w:after="40"/>
      </w:pPr>
      <w:r>
        <w:rPr>
          <w:sz w:val="22"/>
          <w:szCs w:val="22"/>
        </w:rPr>
        <w:t xml:space="preserve">Train XGBoost — tune with GridSearchCV (learning_rate, max_depth, n_estimators)</w:t>
      </w:r>
    </w:p>
    <w:p>
      <w:pPr>
        <w:pStyle w:val="ListParagraph"/>
        <w:numPr>
          <w:ilvl w:val="0"/>
          <w:numId w:val="3"/>
        </w:numPr>
        <w:spacing w:before="40" w:after="40"/>
      </w:pPr>
      <w:r>
        <w:rPr>
          <w:sz w:val="22"/>
          <w:szCs w:val="22"/>
        </w:rPr>
        <w:t xml:space="preserve">Train LightGBM — record metrics, compare vs XGBoost</w:t>
      </w:r>
    </w:p>
    <w:p>
      <w:pPr>
        <w:pStyle w:val="ListParagraph"/>
        <w:numPr>
          <w:ilvl w:val="0"/>
          <w:numId w:val="3"/>
        </w:numPr>
        <w:spacing w:before="40" w:after="40"/>
      </w:pPr>
      <w:r>
        <w:rPr>
          <w:sz w:val="22"/>
          <w:szCs w:val="22"/>
        </w:rPr>
        <w:t xml:space="preserve">Build Stacking Ensemble (RF + XGBoost + LightGBM -&gt; LR meta-learner)</w:t>
      </w:r>
    </w:p>
    <w:p>
      <w:pPr>
        <w:pStyle w:val="ListParagraph"/>
        <w:numPr>
          <w:ilvl w:val="0"/>
          <w:numId w:val="3"/>
        </w:numPr>
        <w:spacing w:before="40" w:after="40"/>
      </w:pPr>
      <w:r>
        <w:rPr>
          <w:sz w:val="22"/>
          <w:szCs w:val="22"/>
        </w:rPr>
        <w:t xml:space="preserve">Run 5-fold Stratified Cross-Validation for all models</w:t>
      </w:r>
    </w:p>
    <w:p>
      <w:pPr>
        <w:spacing w:before="60"/>
      </w:pPr>
      <w:r>
        <w:t xml:space="preserve"/>
      </w:r>
    </w:p>
    <w:p>
      <w:pPr>
        <w:pStyle w:val="Heading3"/>
        <w:spacing w:before="180" w:after="60"/>
      </w:pPr>
      <w:r>
        <w:rPr>
          <w:b/>
          <w:bCs/>
          <w:color w:val="2E74B5"/>
          <w:sz w:val="24"/>
          <w:szCs w:val="24"/>
        </w:rPr>
        <w:t xml:space="preserve">Step 6: Evaluation &amp; Comparison (Day 4)</w:t>
      </w:r>
    </w:p>
    <w:p>
      <w:pPr>
        <w:pStyle w:val="ListParagraph"/>
        <w:numPr>
          <w:ilvl w:val="0"/>
          <w:numId w:val="3"/>
        </w:numPr>
        <w:spacing w:before="40" w:after="40"/>
      </w:pPr>
      <w:r>
        <w:rPr>
          <w:sz w:val="22"/>
          <w:szCs w:val="22"/>
        </w:rPr>
        <w:t xml:space="preserve">Plot ROC curves for all 5 models on same graph</w:t>
      </w:r>
    </w:p>
    <w:p>
      <w:pPr>
        <w:pStyle w:val="ListParagraph"/>
        <w:numPr>
          <w:ilvl w:val="0"/>
          <w:numId w:val="3"/>
        </w:numPr>
        <w:spacing w:before="40" w:after="40"/>
      </w:pPr>
      <w:r>
        <w:rPr>
          <w:sz w:val="22"/>
          <w:szCs w:val="22"/>
        </w:rPr>
        <w:t xml:space="preserve">Create model comparison table (AUC, Precision, Recall, F1, Brier Score)</w:t>
      </w:r>
    </w:p>
    <w:p>
      <w:pPr>
        <w:pStyle w:val="ListParagraph"/>
        <w:numPr>
          <w:ilvl w:val="0"/>
          <w:numId w:val="3"/>
        </w:numPr>
        <w:spacing w:before="40" w:after="40"/>
      </w:pPr>
      <w:r>
        <w:rPr>
          <w:sz w:val="22"/>
          <w:szCs w:val="22"/>
        </w:rPr>
        <w:t xml:space="preserve">Run McNemar's test between Logistic Regression and best ensemble model</w:t>
      </w:r>
    </w:p>
    <w:p>
      <w:pPr>
        <w:pStyle w:val="ListParagraph"/>
        <w:numPr>
          <w:ilvl w:val="0"/>
          <w:numId w:val="3"/>
        </w:numPr>
        <w:spacing w:before="40" w:after="40"/>
      </w:pPr>
      <w:r>
        <w:rPr>
          <w:sz w:val="22"/>
          <w:szCs w:val="22"/>
        </w:rPr>
        <w:t xml:space="preserve">Document: 'Best Phase 1 Model = [model name] with AUC = [value]'</w:t>
      </w:r>
    </w:p>
    <w:p>
      <w:pPr>
        <w:spacing w:before="60"/>
      </w:pPr>
      <w:r>
        <w:t xml:space="preserve"/>
      </w:r>
    </w:p>
    <w:p>
      <w:pPr>
        <w:pStyle w:val="Heading3"/>
        <w:spacing w:before="180" w:after="60"/>
      </w:pPr>
      <w:r>
        <w:rPr>
          <w:b/>
          <w:bCs/>
          <w:color w:val="2E74B5"/>
          <w:sz w:val="24"/>
          <w:szCs w:val="24"/>
        </w:rPr>
        <w:t xml:space="preserve">Step 7: SHAP Explainability (Day 5)</w:t>
      </w:r>
    </w:p>
    <w:p>
      <w:pPr>
        <w:pStyle w:val="ListParagraph"/>
        <w:numPr>
          <w:ilvl w:val="0"/>
          <w:numId w:val="3"/>
        </w:numPr>
        <w:spacing w:before="40" w:after="40"/>
      </w:pPr>
      <w:r>
        <w:rPr>
          <w:sz w:val="22"/>
          <w:szCs w:val="22"/>
        </w:rPr>
        <w:t xml:space="preserve">Apply shap.TreeExplainer to best model (XGBoost or Stacking)</w:t>
      </w:r>
    </w:p>
    <w:p>
      <w:pPr>
        <w:pStyle w:val="ListParagraph"/>
        <w:numPr>
          <w:ilvl w:val="0"/>
          <w:numId w:val="3"/>
        </w:numPr>
        <w:spacing w:before="40" w:after="40"/>
      </w:pPr>
      <w:r>
        <w:rPr>
          <w:sz w:val="22"/>
          <w:szCs w:val="22"/>
        </w:rPr>
        <w:t xml:space="preserve">Generate SHAP Summary Plot (Beeswarm) — save as figure</w:t>
      </w:r>
    </w:p>
    <w:p>
      <w:pPr>
        <w:pStyle w:val="ListParagraph"/>
        <w:numPr>
          <w:ilvl w:val="0"/>
          <w:numId w:val="3"/>
        </w:numPr>
        <w:spacing w:before="40" w:after="40"/>
      </w:pPr>
      <w:r>
        <w:rPr>
          <w:sz w:val="22"/>
          <w:szCs w:val="22"/>
        </w:rPr>
        <w:t xml:space="preserve">Generate SHAP Bar Plot — top 10 features</w:t>
      </w:r>
    </w:p>
    <w:p>
      <w:pPr>
        <w:pStyle w:val="ListParagraph"/>
        <w:numPr>
          <w:ilvl w:val="0"/>
          <w:numId w:val="3"/>
        </w:numPr>
        <w:spacing w:before="40" w:after="40"/>
      </w:pPr>
      <w:r>
        <w:rPr>
          <w:sz w:val="22"/>
          <w:szCs w:val="22"/>
        </w:rPr>
        <w:t xml:space="preserve">Generate SHAP Waterfall for 3 sample companies (high risk, medium, low risk)</w:t>
      </w:r>
    </w:p>
    <w:p>
      <w:pPr>
        <w:pStyle w:val="ListParagraph"/>
        <w:numPr>
          <w:ilvl w:val="0"/>
          <w:numId w:val="3"/>
        </w:numPr>
        <w:spacing w:before="40" w:after="40"/>
      </w:pPr>
      <w:r>
        <w:rPr>
          <w:sz w:val="22"/>
          <w:szCs w:val="22"/>
        </w:rPr>
        <w:t xml:space="preserve">Validate: Debt/EBITDA and Volatility should have positive SHAP values</w:t>
      </w:r>
    </w:p>
    <w:p>
      <w:pPr>
        <w:pStyle w:val="ListParagraph"/>
        <w:numPr>
          <w:ilvl w:val="0"/>
          <w:numId w:val="3"/>
        </w:numPr>
        <w:spacing w:before="40" w:after="40"/>
      </w:pPr>
      <w:r>
        <w:rPr>
          <w:sz w:val="22"/>
          <w:szCs w:val="22"/>
        </w:rPr>
        <w:t xml:space="preserve">Validate: Liquidity and Profitability should have negative SHAP values</w:t>
      </w:r>
    </w:p>
    <w:p>
      <w:pPr>
        <w:spacing w:before="60"/>
      </w:pPr>
      <w:r>
        <w:t xml:space="preserve"/>
      </w:r>
    </w:p>
    <w:p>
      <w:pPr>
        <w:pStyle w:val="Heading2"/>
        <w:spacing w:before="240" w:after="120"/>
      </w:pPr>
      <w:r>
        <w:rPr>
          <w:b/>
          <w:bCs/>
          <w:color w:val="2E74B5"/>
          <w:sz w:val="26"/>
          <w:szCs w:val="26"/>
        </w:rPr>
        <w:t xml:space="preserve">PHASE 2 — ESG-Augmented Model</w:t>
      </w:r>
    </w:p>
    <w:p>
      <w:pPr>
        <w:spacing w:before="60"/>
      </w:pPr>
      <w:r>
        <w:t xml:space="preserve"/>
      </w:r>
    </w:p>
    <w:p>
      <w:pPr>
        <w:pStyle w:val="Heading3"/>
        <w:spacing w:before="180" w:after="60"/>
      </w:pPr>
      <w:r>
        <w:rPr>
          <w:b/>
          <w:bCs/>
          <w:color w:val="2E74B5"/>
          <w:sz w:val="24"/>
          <w:szCs w:val="24"/>
        </w:rPr>
        <w:t xml:space="preserve">Step 8: ESG Feature Addition (Day 6)</w:t>
      </w:r>
    </w:p>
    <w:p>
      <w:pPr>
        <w:pStyle w:val="ListParagraph"/>
        <w:numPr>
          <w:ilvl w:val="0"/>
          <w:numId w:val="3"/>
        </w:numPr>
        <w:spacing w:before="40" w:after="40"/>
      </w:pPr>
      <w:r>
        <w:rPr>
          <w:sz w:val="22"/>
          <w:szCs w:val="22"/>
        </w:rPr>
        <w:t xml:space="preserve">Add: GHG_Intensity = GHG_Scope1 / Revenue_T12M</w:t>
      </w:r>
    </w:p>
    <w:p>
      <w:pPr>
        <w:pStyle w:val="ListParagraph"/>
        <w:numPr>
          <w:ilvl w:val="0"/>
          <w:numId w:val="3"/>
        </w:numPr>
        <w:spacing w:before="40" w:after="40"/>
      </w:pPr>
      <w:r>
        <w:rPr>
          <w:sz w:val="22"/>
          <w:szCs w:val="22"/>
        </w:rPr>
        <w:t xml:space="preserve">Add: CO2_Intensity = CO2_Scope1 / Tot_Assets_LF</w:t>
      </w:r>
    </w:p>
    <w:p>
      <w:pPr>
        <w:pStyle w:val="ListParagraph"/>
        <w:numPr>
          <w:ilvl w:val="0"/>
          <w:numId w:val="3"/>
        </w:numPr>
        <w:spacing w:before="40" w:after="40"/>
      </w:pPr>
      <w:r>
        <w:rPr>
          <w:sz w:val="22"/>
          <w:szCs w:val="22"/>
        </w:rPr>
        <w:t xml:space="preserve">Add: Board_Diversity = % Women on Bd (scale 0-1)</w:t>
      </w:r>
    </w:p>
    <w:p>
      <w:pPr>
        <w:pStyle w:val="ListParagraph"/>
        <w:numPr>
          <w:ilvl w:val="0"/>
          <w:numId w:val="3"/>
        </w:numPr>
        <w:spacing w:before="40" w:after="40"/>
      </w:pPr>
      <w:r>
        <w:rPr>
          <w:sz w:val="22"/>
          <w:szCs w:val="22"/>
        </w:rPr>
        <w:t xml:space="preserve">Add: ESG_Interaction = Debt_EBITDA * GHG_Intensity</w:t>
      </w:r>
    </w:p>
    <w:p>
      <w:pPr>
        <w:pStyle w:val="ListParagraph"/>
        <w:numPr>
          <w:ilvl w:val="0"/>
          <w:numId w:val="3"/>
        </w:numPr>
        <w:spacing w:before="40" w:after="40"/>
      </w:pPr>
      <w:r>
        <w:rPr>
          <w:sz w:val="22"/>
          <w:szCs w:val="22"/>
        </w:rPr>
        <w:t xml:space="preserve">Handle: ESG fields often have more missing data — document &amp; impute</w:t>
      </w:r>
    </w:p>
    <w:p>
      <w:pPr>
        <w:spacing w:before="60"/>
      </w:pPr>
      <w:r>
        <w:t xml:space="preserve"/>
      </w:r>
    </w:p>
    <w:p>
      <w:pPr>
        <w:pStyle w:val="Heading3"/>
        <w:spacing w:before="180" w:after="60"/>
      </w:pPr>
      <w:r>
        <w:rPr>
          <w:b/>
          <w:bCs/>
          <w:color w:val="2E74B5"/>
          <w:sz w:val="24"/>
          <w:szCs w:val="24"/>
        </w:rPr>
        <w:t xml:space="preserve">Step 9: Retrain &amp; Compare (Day 7)</w:t>
      </w:r>
    </w:p>
    <w:p>
      <w:pPr>
        <w:pStyle w:val="ListParagraph"/>
        <w:numPr>
          <w:ilvl w:val="0"/>
          <w:numId w:val="3"/>
        </w:numPr>
        <w:spacing w:before="40" w:after="40"/>
      </w:pPr>
      <w:r>
        <w:rPr>
          <w:sz w:val="22"/>
          <w:szCs w:val="22"/>
        </w:rPr>
        <w:t xml:space="preserve">Retrain best Phase 1 model with ESG variables added</w:t>
      </w:r>
    </w:p>
    <w:p>
      <w:pPr>
        <w:pStyle w:val="ListParagraph"/>
        <w:numPr>
          <w:ilvl w:val="0"/>
          <w:numId w:val="3"/>
        </w:numPr>
        <w:spacing w:before="40" w:after="40"/>
      </w:pPr>
      <w:r>
        <w:rPr>
          <w:sz w:val="22"/>
          <w:szCs w:val="22"/>
        </w:rPr>
        <w:t xml:space="preserve">Run same evaluation framework as Phase 1</w:t>
      </w:r>
    </w:p>
    <w:p>
      <w:pPr>
        <w:pStyle w:val="ListParagraph"/>
        <w:numPr>
          <w:ilvl w:val="0"/>
          <w:numId w:val="3"/>
        </w:numPr>
        <w:spacing w:before="40" w:after="40"/>
      </w:pPr>
      <w:r>
        <w:rPr>
          <w:sz w:val="22"/>
          <w:szCs w:val="22"/>
        </w:rPr>
        <w:t xml:space="preserve">Compare AUC: Phase 1 AUC vs Phase 2 AUC</w:t>
      </w:r>
    </w:p>
    <w:p>
      <w:pPr>
        <w:pStyle w:val="ListParagraph"/>
        <w:numPr>
          <w:ilvl w:val="0"/>
          <w:numId w:val="3"/>
        </w:numPr>
        <w:spacing w:before="40" w:after="40"/>
      </w:pPr>
      <w:r>
        <w:rPr>
          <w:sz w:val="22"/>
          <w:szCs w:val="22"/>
        </w:rPr>
        <w:t xml:space="preserve">Run DeLong's test for statistical significance of AUC improvement</w:t>
      </w:r>
    </w:p>
    <w:p>
      <w:pPr>
        <w:pStyle w:val="ListParagraph"/>
        <w:numPr>
          <w:ilvl w:val="0"/>
          <w:numId w:val="3"/>
        </w:numPr>
        <w:spacing w:before="40" w:after="40"/>
      </w:pPr>
      <w:r>
        <w:rPr>
          <w:sz w:val="22"/>
          <w:szCs w:val="22"/>
        </w:rPr>
        <w:t xml:space="preserve">Generate SHAP plot for ESG model — identify ESG variable contributions</w:t>
      </w:r>
    </w:p>
    <w:p>
      <w:pPr>
        <w:pStyle w:val="ListParagraph"/>
        <w:numPr>
          <w:ilvl w:val="0"/>
          <w:numId w:val="3"/>
        </w:numPr>
        <w:spacing w:before="40" w:after="40"/>
      </w:pPr>
      <w:r>
        <w:rPr>
          <w:sz w:val="22"/>
          <w:szCs w:val="22"/>
        </w:rPr>
        <w:t xml:space="preserve">Document: 'ESG variables increased AUC by X% (p &lt; 0.05)'</w:t>
      </w:r>
    </w:p>
    <w:p>
      <w:pPr>
        <w:spacing w:before="120"/>
      </w:pPr>
      <w:r>
        <w:t xml:space="preserve"/>
      </w:r>
    </w:p>
    <w:p>
      <w:pPr>
        <w:pStyle w:val="Heading1"/>
        <w:spacing w:before="360" w:after="180"/>
      </w:pPr>
      <w:r>
        <w:rPr>
          <w:b/>
          <w:bCs/>
          <w:color w:val="1F4E79"/>
          <w:sz w:val="32"/>
          <w:szCs w:val="32"/>
        </w:rPr>
        <w:t xml:space="preserve">11. COMPLETE RESEARCH CITATION LIBRARY</w:t>
      </w:r>
    </w:p>
    <w:p>
      <w:pPr>
        <w:pBdr>
          <w:bottom w:val="single" w:color="1F4E79" w:sz="6" w:space="1"/>
        </w:pBdr>
        <w:spacing w:before="120" w:after="120"/>
      </w:pPr>
    </w:p>
    <w:p>
      <w:pPr>
        <w:spacing w:before="60"/>
      </w:pPr>
      <w:r>
        <w:t xml:space="preserve"/>
      </w:r>
    </w:p>
    <w:p>
      <w:pPr>
        <w:spacing w:before="60" w:after="60"/>
      </w:pPr>
      <w:r>
        <w:rPr>
          <w:sz w:val="22"/>
          <w:szCs w:val="22"/>
        </w:rPr>
        <w:t xml:space="preserve">All citations below are organized by model component and ordered by recency. Use these in your report, presentation, and any written documentation.</w:t>
      </w:r>
    </w:p>
    <w:p>
      <w:pPr>
        <w:spacing w:before="60"/>
      </w:pPr>
      <w:r>
        <w:t xml:space="preserve"/>
      </w:r>
    </w:p>
    <w:p>
      <w:pPr>
        <w:pStyle w:val="Heading2"/>
        <w:spacing w:before="240" w:after="120"/>
      </w:pPr>
      <w:r>
        <w:rPr>
          <w:b/>
          <w:bCs/>
          <w:color w:val="2E74B5"/>
          <w:sz w:val="26"/>
          <w:szCs w:val="26"/>
        </w:rPr>
        <w:t xml:space="preserve">11.1 Foundation &amp; Classic Models</w:t>
      </w:r>
    </w:p>
    <w:p>
      <w:pPr>
        <w:spacing w:before="30" w:after="30"/>
        <w:ind w:left="720"/>
      </w:pPr>
      <w:r>
        <w:rPr>
          <w:i/>
          <w:iCs/>
          <w:color w:val="555555"/>
          <w:sz w:val="20"/>
          <w:szCs w:val="20"/>
        </w:rPr>
        <w:t xml:space="preserve">Altman, E.I. (1968). Financial ratios, discriminant analysis and the prediction of corporate bankruptcy. Journal of Finance, 23(4), 589-609. [AZS Target Variable]</w:t>
      </w:r>
    </w:p>
    <w:p>
      <w:pPr>
        <w:spacing w:before="30" w:after="30"/>
        <w:ind w:left="720"/>
      </w:pPr>
      <w:r>
        <w:rPr>
          <w:i/>
          <w:iCs/>
          <w:color w:val="555555"/>
          <w:sz w:val="20"/>
          <w:szCs w:val="20"/>
        </w:rPr>
        <w:t xml:space="preserve">Ohlson, J.A. (1980). Financial ratios and the probabilistic prediction of bankruptcy. Journal of Accounting Research, 18(1), 109-131. [Logistic Regression Baseline]</w:t>
      </w:r>
    </w:p>
    <w:p>
      <w:pPr>
        <w:spacing w:before="30" w:after="30"/>
        <w:ind w:left="720"/>
      </w:pPr>
      <w:r>
        <w:rPr>
          <w:i/>
          <w:iCs/>
          <w:color w:val="555555"/>
          <w:sz w:val="20"/>
          <w:szCs w:val="20"/>
        </w:rPr>
        <w:t xml:space="preserve">Shumway, T. (2001). Forecasting bankruptcy more accurately: A simple hazard model. Journal of Business, 74(1), 101-124. [Dynamic default modeling]</w:t>
      </w:r>
    </w:p>
    <w:p>
      <w:pPr>
        <w:spacing w:before="60"/>
      </w:pPr>
      <w:r>
        <w:t xml:space="preserve"/>
      </w:r>
    </w:p>
    <w:p>
      <w:pPr>
        <w:pStyle w:val="Heading2"/>
        <w:spacing w:before="240" w:after="120"/>
      </w:pPr>
      <w:r>
        <w:rPr>
          <w:b/>
          <w:bCs/>
          <w:color w:val="2E74B5"/>
          <w:sz w:val="26"/>
          <w:szCs w:val="26"/>
        </w:rPr>
        <w:t xml:space="preserve">11.2 Machine Learning for Credit Risk (2017-2024)</w:t>
      </w:r>
    </w:p>
    <w:p>
      <w:pPr>
        <w:spacing w:before="30" w:after="30"/>
        <w:ind w:left="720"/>
      </w:pPr>
      <w:r>
        <w:rPr>
          <w:i/>
          <w:iCs/>
          <w:color w:val="555555"/>
          <w:sz w:val="20"/>
          <w:szCs w:val="20"/>
        </w:rPr>
        <w:t xml:space="preserve">Barboza, F., Kimura, H. &amp; Altman, E. (2017). Machine learning models and bankruptcy prediction. Expert Systems with Applications, 83, 405-417. [ML vs Traditional]</w:t>
      </w:r>
    </w:p>
    <w:p>
      <w:pPr>
        <w:spacing w:before="30" w:after="30"/>
        <w:ind w:left="720"/>
      </w:pPr>
      <w:r>
        <w:rPr>
          <w:i/>
          <w:iCs/>
          <w:color w:val="555555"/>
          <w:sz w:val="20"/>
          <w:szCs w:val="20"/>
        </w:rPr>
        <w:t xml:space="preserve">Chen, T. &amp; Guestrin, C. (2016). XGBoost: A scalable tree boosting system. KDD 2016. https://doi.org/10.1145/2939672.2939785 [XGBoost foundation paper]</w:t>
      </w:r>
    </w:p>
    <w:p>
      <w:pPr>
        <w:spacing w:before="30" w:after="30"/>
        <w:ind w:left="720"/>
      </w:pPr>
      <w:r>
        <w:rPr>
          <w:i/>
          <w:iCs/>
          <w:color w:val="555555"/>
          <w:sz w:val="20"/>
          <w:szCs w:val="20"/>
        </w:rPr>
        <w:t xml:space="preserve">Zhou, L. et al. (2021). Machine learning for credit risk. Expert Systems with Applications, 175. [ML benchmark in credit risk]</w:t>
      </w:r>
    </w:p>
    <w:p>
      <w:pPr>
        <w:spacing w:before="30" w:after="30"/>
        <w:ind w:left="720"/>
      </w:pPr>
      <w:r>
        <w:rPr>
          <w:i/>
          <w:iCs/>
          <w:color w:val="555555"/>
          <w:sz w:val="20"/>
          <w:szCs w:val="20"/>
        </w:rPr>
        <w:t xml:space="preserve">Huang, G. et al. (2022). Machine learning for credit risk. Knowledge-Based Systems, 248, 108582. [ML + financial variables]</w:t>
      </w:r>
    </w:p>
    <w:p>
      <w:pPr>
        <w:spacing w:before="30" w:after="30"/>
        <w:ind w:left="720"/>
      </w:pPr>
      <w:r>
        <w:rPr>
          <w:i/>
          <w:iCs/>
          <w:color w:val="555555"/>
          <w:sz w:val="20"/>
          <w:szCs w:val="20"/>
        </w:rPr>
        <w:t xml:space="preserve">Chang, V. et al. (2024). Credit risk prediction using ML and deep learning. Risks, 12(11), 174. https://doi.org/10.3390/risks12110174 [XGBoost vs LightGBM, 2024]</w:t>
      </w:r>
    </w:p>
    <w:p>
      <w:pPr>
        <w:spacing w:before="30" w:after="30"/>
        <w:ind w:left="720"/>
      </w:pPr>
      <w:r>
        <w:rPr>
          <w:i/>
          <w:iCs/>
          <w:color w:val="555555"/>
          <w:sz w:val="20"/>
          <w:szCs w:val="20"/>
        </w:rPr>
        <w:t xml:space="preserve">Zhang, X. &amp; Yu, L. (2024). Consumer credit risk assessment: State-of-the-art review. Journal of Risk and Financial Management. [Most recent systematic review]</w:t>
      </w:r>
    </w:p>
    <w:p>
      <w:pPr>
        <w:spacing w:before="60"/>
      </w:pPr>
      <w:r>
        <w:t xml:space="preserve"/>
      </w:r>
    </w:p>
    <w:p>
      <w:pPr>
        <w:pStyle w:val="Heading2"/>
        <w:spacing w:before="240" w:after="120"/>
      </w:pPr>
      <w:r>
        <w:rPr>
          <w:b/>
          <w:bCs/>
          <w:color w:val="2E74B5"/>
          <w:sz w:val="26"/>
          <w:szCs w:val="26"/>
        </w:rPr>
        <w:t xml:space="preserve">11.3 Ensemble &amp; Stacking Models</w:t>
      </w:r>
    </w:p>
    <w:p>
      <w:pPr>
        <w:spacing w:before="30" w:after="30"/>
        <w:ind w:left="720"/>
      </w:pPr>
      <w:r>
        <w:rPr>
          <w:i/>
          <w:iCs/>
          <w:color w:val="555555"/>
          <w:sz w:val="20"/>
          <w:szCs w:val="20"/>
        </w:rPr>
        <w:t xml:space="preserve">Emmanuel, I., Sun, Y. &amp; Wang, Z. (2024). ML-based credit risk prediction using a stacked classifier. Journal of Big Data, 11, 23. https://doi.org/10.1186/s40537-024-00882-0</w:t>
      </w:r>
    </w:p>
    <w:p>
      <w:pPr>
        <w:spacing w:before="30" w:after="30"/>
        <w:ind w:left="720"/>
      </w:pPr>
      <w:r>
        <w:rPr>
          <w:i/>
          <w:iCs/>
          <w:color w:val="555555"/>
          <w:sz w:val="20"/>
          <w:szCs w:val="20"/>
        </w:rPr>
        <w:t xml:space="preserve">Zhu, M. et al. (2024). Ensemble methodology using LightGBM, XGBoost, LocalEnsemble. arXiv:2402.17979.</w:t>
      </w:r>
    </w:p>
    <w:p>
      <w:pPr>
        <w:spacing w:before="30" w:after="30"/>
        <w:ind w:left="720"/>
      </w:pPr>
      <w:r>
        <w:rPr>
          <w:i/>
          <w:iCs/>
          <w:color w:val="555555"/>
          <w:sz w:val="20"/>
          <w:szCs w:val="20"/>
        </w:rPr>
        <w:t xml:space="preserve">MDPI (2025). Predictive Modelling of Credit Default Risk Using Ensemble Techniques. Mathematics, 31(2), 45. Stacked Ensemble AUC = 0.761.</w:t>
      </w:r>
    </w:p>
    <w:p>
      <w:pPr>
        <w:spacing w:before="60"/>
      </w:pPr>
      <w:r>
        <w:t xml:space="preserve"/>
      </w:r>
    </w:p>
    <w:p>
      <w:pPr>
        <w:pStyle w:val="Heading2"/>
        <w:spacing w:before="240" w:after="120"/>
      </w:pPr>
      <w:r>
        <w:rPr>
          <w:b/>
          <w:bCs/>
          <w:color w:val="2E74B5"/>
          <w:sz w:val="26"/>
          <w:szCs w:val="26"/>
        </w:rPr>
        <w:t xml:space="preserve">11.4 SHAP &amp; Explainability</w:t>
      </w:r>
    </w:p>
    <w:p>
      <w:pPr>
        <w:spacing w:before="30" w:after="30"/>
        <w:ind w:left="720"/>
      </w:pPr>
      <w:r>
        <w:rPr>
          <w:i/>
          <w:iCs/>
          <w:color w:val="555555"/>
          <w:sz w:val="20"/>
          <w:szCs w:val="20"/>
        </w:rPr>
        <w:t xml:space="preserve">Lundberg, S.M. &amp; Lee, S.I. (2017). A unified approach to interpreting model predictions. NeurIPS. https://doi.org/10.48550/arXiv.1705.07874</w:t>
      </w:r>
    </w:p>
    <w:p>
      <w:pPr>
        <w:spacing w:before="30" w:after="30"/>
        <w:ind w:left="720"/>
      </w:pPr>
      <w:r>
        <w:rPr>
          <w:i/>
          <w:iCs/>
          <w:color w:val="555555"/>
          <w:sz w:val="20"/>
          <w:szCs w:val="20"/>
        </w:rPr>
        <w:t xml:space="preserve">Zhang, T. et al. (2023). Explainable financial risk early warning model (DS-XGBoost + SHAP). Finance Research Letters, 56.</w:t>
      </w:r>
    </w:p>
    <w:p>
      <w:pPr>
        <w:spacing w:before="30" w:after="30"/>
        <w:ind w:left="720"/>
      </w:pPr>
      <w:r>
        <w:rPr>
          <w:i/>
          <w:iCs/>
          <w:color w:val="555555"/>
          <w:sz w:val="20"/>
          <w:szCs w:val="20"/>
        </w:rPr>
        <w:t xml:space="preserve">Arxiv (2025). Interpretable credit default prediction with ensemble learning and SHAP. arXiv:2505.20815.</w:t>
      </w:r>
    </w:p>
    <w:p>
      <w:pPr>
        <w:spacing w:before="30" w:after="30"/>
        <w:ind w:left="720"/>
      </w:pPr>
      <w:r>
        <w:rPr>
          <w:i/>
          <w:iCs/>
          <w:color w:val="555555"/>
          <w:sz w:val="20"/>
          <w:szCs w:val="20"/>
        </w:rPr>
        <w:t xml:space="preserve">MDPI (2025). SHAP stability in credit risk management. Risks, 13(12), 238.</w:t>
      </w:r>
    </w:p>
    <w:p>
      <w:pPr>
        <w:spacing w:before="30" w:after="30"/>
        <w:ind w:left="720"/>
      </w:pPr>
      <w:r>
        <w:rPr>
          <w:i/>
          <w:iCs/>
          <w:color w:val="555555"/>
          <w:sz w:val="20"/>
          <w:szCs w:val="20"/>
        </w:rPr>
        <w:t xml:space="preserve">Nature Scientific Reports (2024). Enhancing transparency in automated credit decisions: Hybrid CNN-XGBoost + SHAP. https://doi.org/10.1038/s41598-024-75026-8</w:t>
      </w:r>
    </w:p>
    <w:p>
      <w:pPr>
        <w:spacing w:before="60"/>
      </w:pPr>
      <w:r>
        <w:t xml:space="preserve"/>
      </w:r>
    </w:p>
    <w:p>
      <w:pPr>
        <w:pStyle w:val="Heading2"/>
        <w:spacing w:before="240" w:after="120"/>
      </w:pPr>
      <w:r>
        <w:rPr>
          <w:b/>
          <w:bCs/>
          <w:color w:val="2E74B5"/>
          <w:sz w:val="26"/>
          <w:szCs w:val="26"/>
        </w:rPr>
        <w:t xml:space="preserve">11.5 Market Variables in Credit Risk</w:t>
      </w:r>
    </w:p>
    <w:p>
      <w:pPr>
        <w:spacing w:before="30" w:after="30"/>
        <w:ind w:left="720"/>
      </w:pPr>
      <w:r>
        <w:rPr>
          <w:i/>
          <w:iCs/>
          <w:color w:val="555555"/>
          <w:sz w:val="20"/>
          <w:szCs w:val="20"/>
        </w:rPr>
        <w:t xml:space="preserve">Campbell, J.Y., Hilscher, J. &amp; Szilagyi, J. (2008). In search of distress risk. Journal of Finance, 63(6), 2899-2939. [Volatility, Market Cap, Beta as default predictors]</w:t>
      </w:r>
    </w:p>
    <w:p>
      <w:pPr>
        <w:spacing w:before="30" w:after="30"/>
        <w:ind w:left="720"/>
      </w:pPr>
      <w:r>
        <w:rPr>
          <w:i/>
          <w:iCs/>
          <w:color w:val="555555"/>
          <w:sz w:val="20"/>
          <w:szCs w:val="20"/>
        </w:rPr>
        <w:t xml:space="preserve">Bharath, S.T. &amp; Shumway, T. (2008). Forecasting default with the Merton distance to default model. Review of Financial Studies, 21(3), 1339-1369.</w:t>
      </w:r>
    </w:p>
    <w:p>
      <w:pPr>
        <w:spacing w:before="60"/>
      </w:pPr>
      <w:r>
        <w:t xml:space="preserve"/>
      </w:r>
    </w:p>
    <w:p>
      <w:pPr>
        <w:pStyle w:val="Heading2"/>
        <w:spacing w:before="240" w:after="120"/>
      </w:pPr>
      <w:r>
        <w:rPr>
          <w:b/>
          <w:bCs/>
          <w:color w:val="2E74B5"/>
          <w:sz w:val="26"/>
          <w:szCs w:val="26"/>
        </w:rPr>
        <w:t xml:space="preserve">11.6 ESG &amp; Credit Risk</w:t>
      </w:r>
    </w:p>
    <w:p>
      <w:pPr>
        <w:spacing w:before="30" w:after="30"/>
        <w:ind w:left="720"/>
      </w:pPr>
      <w:r>
        <w:rPr>
          <w:i/>
          <w:iCs/>
          <w:color w:val="555555"/>
          <w:sz w:val="20"/>
          <w:szCs w:val="20"/>
        </w:rPr>
        <w:t xml:space="preserve">Wu, M. &amp; Xie, D. (2024). Impact of ESG on credit risk of listed companies. Green Finance, 6(2), 199-218. https://doi.org/10.3934/GF.2024008</w:t>
      </w:r>
    </w:p>
    <w:p>
      <w:pPr>
        <w:spacing w:before="30" w:after="30"/>
        <w:ind w:left="720"/>
      </w:pPr>
      <w:r>
        <w:rPr>
          <w:i/>
          <w:iCs/>
          <w:color w:val="555555"/>
          <w:sz w:val="20"/>
          <w:szCs w:val="20"/>
        </w:rPr>
        <w:t xml:space="preserve">Liu, Z. et al. (2025). Corporate default risk prediction with ESG and imbalanced samples. ScienceDirect. CS-FL-Stacking model.</w:t>
      </w:r>
    </w:p>
    <w:p>
      <w:pPr>
        <w:spacing w:before="30" w:after="30"/>
        <w:ind w:left="720"/>
      </w:pPr>
      <w:r>
        <w:rPr>
          <w:i/>
          <w:iCs/>
          <w:color w:val="555555"/>
          <w:sz w:val="20"/>
          <w:szCs w:val="20"/>
        </w:rPr>
        <w:t xml:space="preserve">Carbone, S. et al. (2026). ESG risks and corporate viability. International Review of Financial Analysis. Banca d'Italia.</w:t>
      </w:r>
    </w:p>
    <w:p>
      <w:pPr>
        <w:spacing w:before="30" w:after="30"/>
        <w:ind w:left="720"/>
      </w:pPr>
      <w:r>
        <w:rPr>
          <w:i/>
          <w:iCs/>
          <w:color w:val="555555"/>
          <w:sz w:val="20"/>
          <w:szCs w:val="20"/>
        </w:rPr>
        <w:t xml:space="preserve">Emerald (2026). ESG rating divergence and corporate credit risk. Journal of Risk Finance, 27(1). 562 firms, 2017-2022.</w:t>
      </w:r>
    </w:p>
    <w:p>
      <w:pPr>
        <w:spacing w:before="30" w:after="30"/>
        <w:ind w:left="720"/>
      </w:pPr>
      <w:r>
        <w:rPr>
          <w:i/>
          <w:iCs/>
          <w:color w:val="555555"/>
          <w:sz w:val="20"/>
          <w:szCs w:val="20"/>
        </w:rPr>
        <w:t xml:space="preserve">MDPI (2025). ESG factors and corporate credit risk: European firms, Altman Z-Score, 2020-2024. https://doi.org/10.3390/fintech2010002</w:t>
      </w:r>
    </w:p>
    <w:p>
      <w:pPr>
        <w:spacing w:before="30" w:after="30"/>
        <w:ind w:left="720"/>
      </w:pPr>
      <w:r>
        <w:rPr>
          <w:i/>
          <w:iCs/>
          <w:color w:val="555555"/>
          <w:sz w:val="20"/>
          <w:szCs w:val="20"/>
        </w:rPr>
        <w:t xml:space="preserve">He, L. et al. (2025). Influence of ESG on corporate debt default risk. Journal of International Money and Finance, 151. https://doi.org/10.1016/j.jimonfin.2024.102353</w:t>
      </w:r>
    </w:p>
    <w:p>
      <w:pPr>
        <w:spacing w:before="120"/>
      </w:pPr>
      <w:r>
        <w:t xml:space="preserve"/>
      </w:r>
    </w:p>
    <w:p>
      <w:pPr>
        <w:pStyle w:val="Heading1"/>
        <w:spacing w:before="360" w:after="180"/>
      </w:pPr>
      <w:r>
        <w:rPr>
          <w:b/>
          <w:bCs/>
          <w:color w:val="1F4E79"/>
          <w:sz w:val="32"/>
          <w:szCs w:val="32"/>
        </w:rPr>
        <w:t xml:space="preserve">12. PROJECT TIMELINE</w:t>
      </w:r>
    </w:p>
    <w:p>
      <w:pPr>
        <w:pBdr>
          <w:bottom w:val="single" w:color="1F4E79" w:sz="6" w:space="1"/>
        </w:pBdr>
        <w:spacing w:before="120" w:after="120"/>
      </w:pP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500"/>
        <w:gridCol w:w="276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Day</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Phase</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Task</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Deliverable</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Day 1</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Data loading, EDA, target variable construction</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Clean dataset + class balance report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Feature engineering + full preprocessing pipeline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Preprocessed dataset (train/test)</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Day 3</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Train LR + Random Forest + initial XGBoost</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Base AUC scores for 3 models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XGBoost tuning + LightGBM + Stacking Ensemble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model comparison table</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Day 5</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1</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SHAP analysis + interpretability</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SHAP plots + economic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 feature engineering + preprocessing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ESG-augmented dataset</w:t>
            </w:r>
          </w:p>
        </w:tc>
      </w:tr>
      <w:tr>
        <w:tc>
          <w:tcPr>
            <w:tcW w:type="dxa" w:w="9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Day 7</w:t>
            </w:r>
          </w:p>
        </w:tc>
        <w:tc>
          <w:tcPr>
            <w:tcW w:type="dxa" w:w="1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Phase 2</w:t>
            </w:r>
          </w:p>
        </w:tc>
        <w:tc>
          <w:tcPr>
            <w:tcW w:type="dxa" w:w="45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Retrain models with ESG + comparison analysis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sz w:val="20"/>
                <w:szCs w:val="20"/>
              </w:rPr>
              <w:t xml:space="preserve">AUC delta + DeLong test result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 writing + presentation preparation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Final document + slide deck</w:t>
            </w:r>
          </w:p>
        </w:tc>
      </w:tr>
    </w:tbl>
    <w:p>
      <w:pPr>
        <w:spacing w:before="120"/>
      </w:pPr>
      <w:r>
        <w:t xml:space="preserve"/>
      </w:r>
    </w:p>
    <w:p>
      <w:pPr>
        <w:pStyle w:val="Heading1"/>
        <w:spacing w:before="360" w:after="180"/>
      </w:pPr>
      <w:r>
        <w:rPr>
          <w:b/>
          <w:bCs/>
          <w:color w:val="1F4E79"/>
          <w:sz w:val="32"/>
          <w:szCs w:val="32"/>
        </w:rPr>
        <w:t xml:space="preserve">13. PRESENTATION NARRATIVE (WHAT TO SAY)</w:t>
      </w:r>
    </w:p>
    <w:p>
      <w:pPr>
        <w:pBdr>
          <w:bottom w:val="single" w:color="1F4E79" w:sz="6" w:space="1"/>
        </w:pBdr>
        <w:spacing w:before="120" w:after="120"/>
      </w:pPr>
    </w:p>
    <w:p>
      <w:pPr>
        <w:spacing w:before="60"/>
      </w:pPr>
      <w:r>
        <w:t xml:space="preserve"/>
      </w:r>
    </w:p>
    <w:p>
      <w:pPr>
        <w:spacing w:before="60" w:after="60"/>
      </w:pPr>
      <w:r>
        <w:rPr>
          <w:sz w:val="22"/>
          <w:szCs w:val="22"/>
        </w:rPr>
        <w:t xml:space="preserve">The following key statements can be used directly in your presentation, report, or academic paper: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Opening</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We construct a corporate credit risk model using a two-phase methodology. Phase 1 establishes a financially-grounded baseline using traditional financial and market variables. Phase 2 augments the model with ESG sustainability factors to evaluate their incremental predictive power — a research design validated by recent literature (Wu &amp; Xie, 2024; Liu et al., 2025).</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Target Variable</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In the absence of observed default events, we follow the established academic practice of using the Altman Z-Score as a proxy for financial distress (Altman, 1968; MDPI, 2025). Companies with AZS &lt; 1.8 are classified as in financial distress (Default = 1).</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Model Selection</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Our model stack follows the current research consensus: Logistic Regression serves as the interpretable baseline (Ohlson, 1980), while XGBoost is selected as the primary predictive model based on its demonstrated superiority across multiple 2023-2024 benchmark studies (Chang et al., 2024; MDPI, 2025). A Stacking Ensemble is used as the final model.</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Explainability</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To satisfy regulatory transparency requirements and academic standards, we implement SHAP (Lundberg &amp; Lee, 2017) to decompose individual predictions into feature-level contributions — validating that the model's economic logic aligns with financial theory.</w:t>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r>
              <w:rPr>
                <w:b/>
                <w:bCs/>
                <w:color w:val="FFFFFF"/>
                <w:sz w:val="20"/>
                <w:szCs w:val="20"/>
              </w:rPr>
              <w:t xml:space="preserve">ESG Finding</w:t>
            </w:r>
          </w:p>
        </w:tc>
        <w:tc>
          <w:tcPr>
            <w:tcW w:type="dxa" w:w="7560"/>
            <w:tcBorders>
              <w:top w:val="single" w:color="1F4E79" w:sz="1"/>
              <w:left w:val="single" w:color="1F4E79" w:sz="1"/>
              <w:bottom w:val="single" w:color="1F4E79" w:sz="1"/>
              <w:right w:val="single" w:color="1F4E79" w:sz="1"/>
            </w:tcBorders>
            <w:shd w:fill="EBF3FB" w:val="clear"/>
            <w:tcMar>
              <w:top w:type="dxa" w:w="80"/>
              <w:left w:type="dxa" w:w="120"/>
              <w:bottom w:type="dxa" w:w="80"/>
              <w:right w:type="dxa" w:w="120"/>
            </w:tcMar>
          </w:tcPr>
          <w:p>
            <w:r>
              <w:rPr>
                <w:sz w:val="20"/>
                <w:szCs w:val="20"/>
              </w:rPr>
              <w:t xml:space="preserve">Consistent with recent literature, we hypothesize that ESG integration will improve model AUC, particularly through governance variables (board diversity) in the short term and environmental variables (GHG emissions) over longer time horizons (Carbone et al., 2026; Wu &amp; Xie, 2024).</w:t>
            </w:r>
          </w:p>
        </w:tc>
      </w:tr>
    </w:tbl>
    <w:p>
      <w:pPr>
        <w:spacing w:before="120"/>
      </w:pPr>
      <w:r>
        <w:t xml:space="preserve"/>
      </w:r>
    </w:p>
    <w:p>
      <w:pPr>
        <w:pBdr>
          <w:top w:val="single" w:color="1F4E79" w:sz="4"/>
        </w:pBdr>
        <w:spacing w:before="120"/>
        <w:jc w:val="center"/>
      </w:pPr>
      <w:r>
        <w:rPr>
          <w:i/>
          <w:iCs/>
          <w:color w:val="888888"/>
          <w:sz w:val="20"/>
          <w:szCs w:val="20"/>
        </w:rPr>
        <w:t xml:space="preserve">End of Credit Risk Model Research Blueprint &amp;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6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2026-03-19T07:27:37.889Z</dcterms:created>
  <dcterms:modified xsi:type="dcterms:W3CDTF">2026-03-19T07:27:37.890Z</dcterms:modified>
</cp:coreProperties>
</file>

<file path=docProps/custom.xml><?xml version="1.0" encoding="utf-8"?>
<Properties xmlns="http://schemas.openxmlformats.org/officeDocument/2006/custom-properties" xmlns:vt="http://schemas.openxmlformats.org/officeDocument/2006/docPropsVTypes"/>
</file>