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jc w:val="center"/>
      </w:pPr>
      <w:r>
        <w:rPr>
          <w:b/>
          <w:bCs/>
          <w:color w:val="1B3A6B"/>
          <w:sz w:val="60"/>
          <w:szCs w:val="60"/>
        </w:rPr>
        <w:t xml:space="preserve">MODERNIZED CREDIT RISK MODEL</w:t>
      </w:r>
    </w:p>
    <w:p>
      <w:pPr>
        <w:jc w:val="center"/>
      </w:pPr>
      <w:r>
        <w:rPr>
          <w:color w:val="2E5FA3"/>
          <w:sz w:val="28"/>
          <w:szCs w:val="28"/>
        </w:rPr>
        <w:t xml:space="preserve">Moving Beyond Altman Z-Score: Hybrid Target Variable &amp; Post-AZS Architecture</w:t>
      </w:r>
    </w:p>
    <w:p>
      <w:pPr>
        <w:spacing w:before="120"/>
      </w:pPr>
      <w:r>
        <w:t xml:space="preserve"/>
      </w:r>
    </w:p>
    <w:p>
      <w:pPr>
        <w:pBdr>
          <w:top w:val="single" w:color="E85D26" w:sz="8"/>
          <w:bottom w:val="single" w:color="E85D26" w:sz="8"/>
        </w:pBdr>
        <w:spacing w:before="120" w:after="120"/>
        <w:jc w:val="center"/>
      </w:pPr>
      <w:r>
        <w:rPr>
          <w:b/>
          <w:bCs/>
          <w:color w:val="333333"/>
          <w:sz w:val="24"/>
          <w:szCs w:val="24"/>
        </w:rPr>
        <w:t xml:space="preserve">Research-Grounded Update Plan  |  Phase 1: Base  |  Phase 2: ESG-Augmented  |  Target: AUC &gt; 0.85</w:t>
      </w:r>
    </w:p>
    <w:p>
      <w:pPr>
        <w:spacing w:before="12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Based on Systematic Review: Heliyon (2024), MDPI (2025), Bazzana et al. (2024), Campbell et al. (2008)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1. THE CORE PROBLEM WITH AZS-ONLY TARGET VARIABLE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central issue you have identified is correct and is widely acknowledged in the academic literature. Using the Altman Z-Score (AZS) as the sole target variable creates a circular, outdated, and limited model. Here is exactly why — and what the modern solution is.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Your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was built on 1960s US manufacturing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Your companies may be from different sectors/countries — the fixed weights (1.2, 1.4, 3.3, 0.6, 1.0) are not re-estimated for modern markets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is purely accounting-based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Modern default prediction relies heavily on market signals (volatility, beta, returns) — AZS ignores these entirely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is a linear discriminant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It cannot capture non-linear interactions between financial stress and market risk — exactly what ML models are designed to exploit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Self-referential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If you use AZS as your target AND use financial ratios as features, many of those ratios are already inside AZS — the model learns trivial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Binary cutoff at 1.8 is arbitrary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statistical basis for using 1.8 vs 2.0 vs 1.5 for your specific dataset — it misclassifies companies in the grey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Wikipedia explicitly states...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'Modern academic default models rely heavily on market-based data rather than the accounting ratios predominant in the Altman Z-score'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AZS should be DEMOTED from Target Variable to just one Feature among many. The target variable must be modernized using a Hybrid Composite Risk Label that combines AZS + Ohlson O-Score + Market Volatility Signals.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Wikipedia / Altman (2000). 'Modern academic default and bankruptcy prediction models rely heavily on market-based data rather than the accounting ratios predominant in the Altman Z-score.'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Heliyon (2024). Advancing financial resilience: A systematic review of default prediction models 2015-2024. doi: 10.1016/j.heliyon.2024.e39770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MDPI (2025). Corporate Failure Prediction: A Literature Review of Altman Z-Score and Machine Learning Models. Journal of Risk and Financial Management, 18(8), 465.</w:t>
      </w:r>
    </w:p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2. THE MODERN TARGET VARIABLE: HYBRID COMPOSITE RISK LABEL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solution is to construct a Hybrid Composite Risk Label (HCRL) that draws on three independent streams of default evidence. This is the architecture used by S&amp;P Global RiskGauge, Moody's KMV, and in the most cited academic hybrid models post-2020.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2.1 The Three Pillars of Modern Default Evidence</w:t>
      </w:r>
    </w:p>
    <w:p>
      <w:pPr>
        <w:spacing w:before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160"/>
        <w:gridCol w:w="19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You Have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Academic Basis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Accounting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Altman Z-Score (AZS)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Balance sheet distress — leverage, liquidity, profitability ratios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field directly available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Altman (1968); MDPI (2025)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Probabilistic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Ohlson O-Score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Logistic-based bankruptcy probability — includes firm size, leverage, net income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 compute from: Total Liab, Tot Assets, Curr Ratio, EPS, EBITDA, FCF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Ohlson (1980); Heliyon (2024)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Market-Structural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Volatility + Beta +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Forward-looking market distress signal — equity market's real-time assessment of firm 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Volat:D-30, Beta:M-1, Total Return:Y-1, Market Cap all available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Merton (1974); Campbell et al. (2008); Bharath &amp; Shumway (2008)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2.2 Hybrid Composite Risk Label (HCRL) — Construction Steps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HCRL?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8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HCRL is a composite binary label where a company is classified as 'At Risk = 1' if it shows distress signals from AT LEAST 2 of the 3 independent pillars above. This is called a Voting Label approach and is the academically superior method to any single-score cutoff.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2E5FA3"/>
          <w:sz w:val="24"/>
          <w:szCs w:val="24"/>
        </w:rPr>
        <w:t xml:space="preserve">Step A: Generate Pillar 1 Signal — AZS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Already available in your dataset as AZS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AZS_Flag = 1 if AZS &lt; 1.8 (distress zone), else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Note: AZS is now just one vote — not the final verdict</w:t>
      </w:r>
    </w:p>
    <w:p>
      <w:pPr>
        <w:spacing w:before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2E5FA3"/>
          <w:sz w:val="24"/>
          <w:szCs w:val="24"/>
        </w:rPr>
        <w:t xml:space="preserve">Step B: Generate Pillar 2 Signal — Ohlson O-Score</w:t>
      </w:r>
    </w:p>
    <w:p>
      <w:pPr>
        <w:spacing w:before="60" w:after="60"/>
      </w:pPr>
      <w:r>
        <w:rPr>
          <w:sz w:val="22"/>
          <w:szCs w:val="22"/>
        </w:rPr>
        <w:t xml:space="preserve">The Ohlson O-Score uses logistic regression to directly output a probability of bankruptcy. You can compute it from your existing data fields using the published formula: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OHLSON O-SCORE FORMULA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9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= -1.32 - 0.407*log(TotalAssets) + 6.03*(TotalLiab/TotalAssets) - 1.43*(WorkingCapital/TotalAssets) + 0.0757*(CurrLiab/CurrAssets) - 1.72*OENEG - 2.37*(NetIncome/TotalAssets) - 1.83*(FFO/TotalLiab) + 0.285*INTWO - 0.521*CHIN
PD_Ohlson = exp(O) / (1 + exp(O))
Ohlson_Flag = 1 if PD_Ohlson &gt; 0.50, else 0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From your data: TotalLiab LF, Tot Assets LF, Curr Ratio LF (proxy for working capital), EBITDA T12M (proxy for FFO), EPS T12M (proxy for income direction)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Some components need approximation — this is standard practice and fully documented in the methodology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Ohlson, J.A. (1980). Financial ratios and the probabilistic prediction of bankruptcy. Journal of Accounting Research, 18(1), 109-131.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Heliyon (2024). Systematic review identifies Ohlson O-Score as the leading probabilistic model for bankruptcy prediction 2015-2024.</w:t>
      </w:r>
    </w:p>
    <w:p>
      <w:pPr>
        <w:spacing w:before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2E5FA3"/>
          <w:sz w:val="24"/>
          <w:szCs w:val="24"/>
        </w:rPr>
        <w:t xml:space="preserve">Step C: Generate Pillar 3 Signal — Market Distress Flag</w:t>
      </w:r>
    </w:p>
    <w:p>
      <w:pPr>
        <w:spacing w:before="60" w:after="60"/>
      </w:pPr>
      <w:r>
        <w:rPr>
          <w:sz w:val="22"/>
          <w:szCs w:val="22"/>
        </w:rPr>
        <w:t xml:space="preserve">Campbell, Hilscher &amp; Szilagyi (2008) is the definitive paper showing that market-based variables significantly outperform accounting-based models. Using your available market fields: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60"/>
        <w:gridCol w:w="26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 Signal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Your Field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Distress Threshold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Volatility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Volat:D-30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75th percentile of 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vol = market pricing in elevated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Negative Returns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 Return:Y-1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-20% (or 25th percentile)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Sustained losses = market loss of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Beta:M-1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1.5 (amplified market risk)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beta = systematic fragility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Market 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 Cap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25th percentile of 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Small cap + distress = heightened default risk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Market_Flag = 1 if company fails 2 or more of the above 4 market signal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This is the Merton structural model logic implemented using your available proxy variables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Campbell, J.Y., Hilscher, J. &amp; Szilagyi, J. (2008). In search of distress risk. Journal of Finance, 63(6), 2899-2939. [Shows market signals outperform accounting models]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Bharath, S.T. &amp; Shumway, T. (2008). Forecasting default with the Merton distance to default model. Review of Financial Studies, 21(3), 1339-1369.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Merton, R.C. (1974). On the pricing of corporate debt: The risk structure of interest rates. Journal of Finance, 29(2), 449-470.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2.3 Final HCRL Label: Voting Rule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VOTING RULE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HCRL_Default = 1 (At Risk) if: SUM(AZS_Flag + Ohlson_Flag + Market_Flag) &gt;= 2
HCRL_Default = 0 (Safe) otherwise
This means: A company must show distress in AT LEAST 2 of 3 independent systems to be classified as high-risk. This dramatically reduces false positives from any single flawed score.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960"/>
        <w:gridCol w:w="26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AZS Flag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Ohlson Flag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 Flag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Votes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HCRL Label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3/3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(HIGH RISK)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Triple confirmation — very high confidence default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2/3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(HIGH RISK)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Accounting + probabilistic agreement — financial distress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2/3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(HIGH RISK)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Accounting + market agreement — structural risk confirmed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2/3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(HIGH RISK)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Probabilistic + market agreement — early warning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1/3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(SAFE)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alone — may be industry/size artifact, not sufficient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(SAFE)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three systems clear — financially healthy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Why this is academically superior: The voting approach is used in modern ensemble credit risk systems (S&amp;P RiskGauge, Moody's EDF) precisely because no single score captures all default risk dimensions. Your research can explicitly cite the multi-signal approach as a methodological contribution.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S&amp;P Global RiskGauge (2024). Integrates PD Model Fundamentals (accounting), PD Market Signals (market-based), and Credit Model to generate unified credit score. https://spglobal.com/marketintelligence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MDPI (2025). Corporate Failure Prediction: ML models compared to Z-Score. Journal of Risk and Financial Management, 18(8), 465. Confirms single-score limitations.</w:t>
      </w:r>
    </w:p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3. UPDATED FEATURE ARCHITECTURE: AZS AS ONE FEATURE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With HCRL as the target variable, your features now become a much richer set. AZS is retained but as one feature among many — exactly as the modern literature recommends. Below is the complete feature map.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60"/>
        <w:gridCol w:w="2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Your Fields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Modern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Accounting-Based (from AZS era)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Debt/EBITDA, Debt/Equity, Curr Ratio, Quick Ratio, EBIT/Assets, Revenue/Assets, FCF, Total Liab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health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Altman (1968); Ohlson (1980) — validated across 50+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as Feature (demoted)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field directly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vote in feature space — captures Altman's 5-ratio composite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MDPI (2025) — Z-score as benchmark feature in ML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Market-Structural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Beta:M-1, Volat:D-30, Total Return Y-1, Total Return D-1, Market Cap, P/E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Forward-looking market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Campbell et al. (2008); Merton (1974); Bharath &amp; Shumway (2008)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Profitability &amp; Cash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EPS T12M, EBITDA T12M, EBIT T12M, FCF T12M, ROA to ROE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Earnings quality and cash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Shumway (2001) — cash flow variables improve hazard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Credit Rating Signal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 Msrmnt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 consensus credit opinion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Structural input — agency rating as ordinal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ESG Features (Phase 2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GHG Scope 1, GHG Scope 3, CO2 Scope 1, % Women on 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Sustainability risk factors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Wu &amp; Xie (2024); Liu et al. (2025) — ESG as incremental predictor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4. ENGINEERED FEATURES: POST-AZS MODERN RATIOS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Beyond your raw fields, these engineered features add significant predictive power. Each is derived from your existing data and supported by post-2020 research.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360"/>
        <w:gridCol w:w="18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Engineered Feature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from Your Data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Adds vs AZS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Research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Debt Service Coverage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EBIT_T12M / (Total_Liab * 0.05)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Interest coverage — AZS does not capture payment capacity directly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Shumway (2001); Campbell et al. (2008)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Earnings Quality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FCF_T12M / EBITDA_T12M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Accruals risk — companies with high EBITDA but low FCF are masking distress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Khandani et al. (2010)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Asset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Revenue_T12M / Tot_Assets_LF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includes this but with fixed weight; let ML weight it dynamically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Altman (1968) — but freed from linear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Market-Adjusted Leverage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Debt_Equity * Beta_M1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Systemic risk amplifier — high-beta + high-leverage is especially dangerous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Merton (1974); Bharath &amp; Shumway (2008)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Volatility-Adjusted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Total_Return_Y1 / (1 + Volat_D30)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Risk-adjusted performance — rewards stable positive returns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Campbell et al. (2008)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Distress Proximity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(1/AZS) * Volat_D30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Inverse AZS weighted by market uncertainty — amplifies grey zone companies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Hybrid signal — novel contribution of this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Liquidity Buffer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Curr_Ratio - Quick_Ratio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Inventory dependency — gap between current and quick ratio signals inventory lock-up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Hand &amp; Henley (1997)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Size-Leverage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log(Market_Cap) / Debt_EBITDA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Size normalizes leverage risk — small firms with same leverage are more vulnerable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Shumway (2001)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5. FULL MODERN MODEL ARCHITECTURE (PHASE 1 — BASE)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5.1 Why the Model Stack Does Not Change — But What Feeds It Does</w:t>
      </w:r>
    </w:p>
    <w:p>
      <w:pPr>
        <w:spacing w:before="60" w:after="60"/>
      </w:pPr>
      <w:r>
        <w:rPr>
          <w:sz w:val="22"/>
          <w:szCs w:val="22"/>
        </w:rPr>
        <w:t xml:space="preserve">The key modernization is NOT in changing XGBoost or Stacking Ensemble — those are still the right models. The modernization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Target variable: AZS-only binary  →  HCRL Voting Label (3-pillar)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Features: financial ratios only  →  financial + market + AZS-as-feature + engineered ratios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Validation: single AUC  →  compare model with AZS-only target vs HCRL target (this is your novel contribution)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5.2 The Model Stack (Unchanged from Previous Plan — Correctly)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AUC with HCRL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Linear baseline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Interpretable benchmark — always include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0.68 - 0.74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Ensemble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Non-linear baseline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0.75 - 0.80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model — best performance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0.80 - 0.87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Speed + performance comparison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0.79 - 0.86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Stacking Ensemble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Meta-learner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best model — RF + XGB + LGBM → LR meta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0.83 - 0.89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AUC expectations improve with HCRL target vs AZS-only because: (1) The label is less noisy — companies in the grey zone are properly classified using market confirmation. (2) Features now include market signals that directly correspond to the market pillar of HCRL, creating feature-target alignment.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Bazzana, F., Bee, M. &amp; Khatir, A.A. (2024). Machine learning techniques for default prediction: an application to small Italian companies. Risk Management, 26, 1. https://doi.org/10.1057/s41283-023-00132-2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Heliyon (2024). Systematic review of DPM 2015-2024: Hybrid models consistently outperform pure accounting or pure market models. doi: 10.1016/j.heliyon.2024.e39770</w:t>
      </w:r>
    </w:p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6. THE NOVEL RESEARCH CONTRIBUTION: AZS vs HCRL COMPARISON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This is where your research becomes genuinely original and publication-quality. By building models with BOTH target variables and comparing them, you produce a methodological contribution — not just a model.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RESEARCH CONTRIBUTION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8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Experiment 1: Train XGBoost with AZS-binary target (old approach)
Experiment 2: Train XGBoost with HCRL Voting Label (new approach)
Hypothesis: HCRL target produces significantly higher AUC due to reduced label noise and multi-signal confirmation
Test: DeLong's AUC comparison test (p-value &lt; 0.05)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Experiment 1 (AZS Target)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Experiment 2 (HCRL Target)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Finding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Target 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Binary: AZS &lt; 1.8 =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Voting Label (3-pillar)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reduces label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Feature 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ratios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+ Market + AZS-as-feature + Engineered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Richer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XGBoost (same architecture)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Fair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Expected AUC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0.72 - 0.78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0.82 - 0.89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&gt; AZS-target significantly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SHAP 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Leverage + Liquidity dominate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 signals (Volatility, AZS) enter top features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Multi-dimensional risk captured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Grey Zone Companies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Often misclassified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Resolved by market/Ohlson pillar votes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Reduced Type II errors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7. PHASE 2: ESG INTEGRATION (UNCHANGED RATIONALE — STRONGER WITH HCRL)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ESG augmentation plan from your previous document is fully compatible with and strengthened by the HCRL target. The argument becomes: 'We first demonstrate that our HCRL-targeted base model outperforms AZS-targeted models, then show that ESG variables provide additional incremental lift on top of an already stronger base.'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Variable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Research Claim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(old 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AZS binary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Baseline for comparison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1A (new 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Voting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+ Market + Engineered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outperforms AZS target — methodological contribution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1B (best 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Voting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Above + AZS as feature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feature set, best base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(ESG model)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HCRL Voting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1B + ESG (GHG, CO2, Board diversity)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ESG provides incremental AUC lift on top of strong base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Wu, M. &amp; Xie, D. (2024). The impact of ESG performance on the credit risk of listed companies. Green Finance, 6(2), 199-218.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Liu, Z. et al. (2025). Prediction of corporate default risk considering ESG performance and unbalanced samples. Expert Systems with Applications.</w:t>
      </w:r>
    </w:p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8. UPDATED COMPLETE STEP-BY-STEP IMPLEMENTATION PLAN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Phase 0: Deprecate AZS-Only Target (Day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Compute AZS_Flag: df['AZS_Flag'] = (df['AZS'] &lt; 1.8).astype(int)  — this is now just one column, not the target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Retain AZS as a feature column for the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Document the class distribution of AZS_Flag for comparison purposes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Phase 1: Construct HCRL Voting Label (Days 1-2)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Compute Ohlson O-Score using available fields (Total Liab, Tot Assets, FCF, EPS, Curr Ratio)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Convert O-Score to probability: PD_Ohlson = exp(O) / (1 + exp(O))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Create Ohlson_Flag: df['Ohlson_Flag'] = (PD_Ohlson &gt; 0.50).astype(int)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Compute Market thresholds: p75 volatility, p25 returns, p25 market cap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Create Market_Flag: company fails 2+ of 4 market signal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Create HCRL: df['HCRL'] = ((AZS_Flag + Ohlson_Flag + Market_Flag) &gt;= 2).astype(int)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Compare class distributions: AZS_Flag vs HCRL — document differences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Statistical test: chi-square to confirm HCRL and AZS_Flag are materially different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Phase 2: Feature Engineering (Day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Compute all 8 engineered features from Section 4 above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Create final feature matrix X: all financial + market + AZS-as-feature + engineered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Drop: Ticker, Name, AZS (moved to feature), GHG/CO2/Board (Phase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Winsorize at 1st-99th percentile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Impute missing with median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Stratified train-test split (test=0.2, stratify=HCRL)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Phase 3: Dual Experiment (Days 3-5)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Train ALL models (LR, RF, XGBoost, LightGBM, Stacking) on EXPERIMENT 1: target = AZS_Flag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Train ALL models on EXPERIMENT 2: target = HCRL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For each model: record AUC, Precision, Recall, F1, KS Statistic, Brier Score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Run DeLong's test: AUC(HCRL) vs AUC(AZS_Flag) for best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Document: 'HCRL target increases best model AUC from X to Y (p &lt; 0.05)'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Phase 4: SHAP on Best HCRL Model (Day 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Apply SHAP TreeExplainer to best model (likely XGBoost with HCRL target)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SHAP summary plot — which features dominate? Validate: AZS, Volatility, Leverage should appear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SHAP comparison: HCRL model vs AZS-only model — do market features gain importance?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SHAP waterfall for 3 sample companies: triple-flag (clear default), 2-flag (grey), 0-flag (safe)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Phase 5: ESG Augmentation (Days 6-7)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Add ESG features: GHG_Intensity, CO2_Intensity, Board_Diversity, ESG_Interaction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Retrain best Phase 3 model configuration with ESG features added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Compare: Phase 3 AUC vs Phase 5 AUC using DeLong's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SHAP: Do ESG variables enter top-10 features? What direction?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Final summary: AZS-only target  -&gt;  HCRL target  -&gt;  HCRL + ESG target: AUC progression</w:t>
      </w:r>
    </w:p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9. YOUR PRESENTATION NARRATIVE (FULLY UPDATED)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OPENING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research addresses a fundamental limitation of traditional credit risk models: their over-reliance on single static scores with fixed accounting weights. We propose and validate a Hybrid Composite Risk Label (HCRL) that integrates accounting-based distress (Altman Z-Score), probabilistic bankruptcy probability (Ohlson O-Score), and market-structural signals (volatility, beta, returns) into a unified multi-signal classification target.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Altman Z-Score is not discarded — it is retained as a feature within the model's input space, while being replaced as the sole determinant of the target variable. This approach aligns with the modern industry standard (S&amp;P Global RiskGauge, Moody's EDF framework) where accounting, market, and qualitative signals are integrated rather than used in isolation.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DF8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original contributions: (1) Novel HCRL target variable construction using 3-pillar voting — reduces label noise in the grey zone. (2) First comparison of AZS-binary vs HCRL label performance on the same ML stack. (3) ESG integration demonstrating incremental predictive power over a strong hybrid base model.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QUOTE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Instead of relying on static linear models like the Altman Z-Score as the final verdict, our approach integrates financial, probabilistic, and market-structural signals into a modern hybrid classification target, processed through gradient-boosted ensemble models with SHAP explainability — providing a more robust, theoretically-grounded, and practically actionable assessment of corporate default risk.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B3A6B"/>
          <w:sz w:val="34"/>
          <w:szCs w:val="34"/>
        </w:rPr>
        <w:t xml:space="preserve">10. FULL UPDATED CITATION LIBRARY</w:t>
      </w:r>
    </w:p>
    <w:p>
      <w:pPr>
        <w:pBdr>
          <w:bottom w:val="single" w:color="1B3A6B" w:sz="6" w:space="1"/>
        </w:pBdr>
        <w:spacing w:before="100" w:after="100"/>
      </w:pP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Target Variable Modernization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Altman, E.I. (1968). Financial ratios, discriminant analysis and the prediction of corporate bankruptcy. Journal of Finance, 23(4), 589-609. [Foundational — now a feature, not a target]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Ohlson, J.A. (1980). Financial ratios and probabilistic prediction of bankruptcy. Journal of Accounting Research, 18(1), 109-131. [Second pillar of HCRL target]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Merton, R.C. (1974). On the pricing of corporate debt: The risk structure of interest rates. Journal of Finance, 29(2), 449-470. [Basis for Market Pillar of HCRL]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MDPI (2025). Corporate Failure Prediction: Altman Z-Score vs ML Models. Journal of Risk and Financial Management, 18(8), 465. doi: 10.3390/jrfm18080465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Heliyon (2024). Systematic review of default prediction models 2015-2024. doi: 10.1016/j.heliyon.2024.e39770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Market-Based Default Prediction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Campbell, J.Y., Hilscher, J. &amp; Szilagyi, J. (2008). In search of distress risk. Journal of Finance, 63(6), 2899-2939.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Bharath, S.T. &amp; Shumway, T. (2008). Forecasting default with the Merton distance to default model. Review of Financial Studies, 21(3), 1339-1369.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S&amp;P Global RiskGauge (2024). Tracking credit risk: integrating fundamentals, market signals, and credit ratings. Market Intelligence Blog.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ML Models &amp; Ensemble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Bazzana, F., Bee, M. &amp; Khatir, A.A. (2024). Machine learning for default prediction: Italian companies. Risk Management, 26, 1. doi: 10.1057/s41283-023-00132-2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Emmanuel, I., Sun, Y. &amp; Wang, Z. (2024). ML-based credit risk prediction using stacked classifier. Journal of Big Data, 11, 23. doi: 10.1186/s40537-024-00882-0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Chang, V. et al. (2024). Credit risk prediction using ML and deep learning. Risks, 12(11), 174. doi: 10.3390/risks12110174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SHAP &amp; Explainability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Lundberg, S.M. &amp; Lee, S.I. (2017). A unified approach to interpreting model predictions. NeurIPS. doi: 10.48550/arXiv.1705.07874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Zhang, T. et al. (2023). Explainable financial risk early warning model (DS-XGBoost + SHAP). Finance Research Letters, 56.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arXiv (2025). Interpretable credit default prediction with ensemble learning and SHAP. arXiv:2505.20815.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5FA3"/>
          <w:sz w:val="27"/>
          <w:szCs w:val="27"/>
        </w:rPr>
        <w:t xml:space="preserve">ESG &amp; Credit Risk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Wu, M. &amp; Xie, D. (2024). ESG performance and credit risk of listed companies. Green Finance, 6(2), 199-218. doi: 10.3934/GF.2024008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Liu, Z. et al. (2025). Corporate default risk prediction with ESG and imbalanced samples. Expert Systems with Applications.</w:t>
      </w:r>
    </w:p>
    <w:p>
      <w:pPr>
        <w:spacing w:before="20" w:after="20"/>
        <w:ind w:left="720"/>
      </w:pPr>
      <w:r>
        <w:rPr>
          <w:i/>
          <w:iCs/>
          <w:color w:val="555555"/>
          <w:sz w:val="19"/>
          <w:szCs w:val="19"/>
        </w:rPr>
        <w:t xml:space="preserve">Carbone, S. et al. (2026). ESG risks and corporate viability. International Review of Financial Analysis. Banca d'Italia.</w:t>
      </w:r>
    </w:p>
    <w:p>
      <w:pPr>
        <w:spacing w:before="120"/>
      </w:pPr>
      <w:r>
        <w:t xml:space="preserve"/>
      </w:r>
    </w:p>
    <w:p>
      <w:pPr>
        <w:pBdr>
          <w:top w:val="single" w:color="1B3A6B" w:sz="4"/>
        </w:pBdr>
        <w:spacing w:before="120"/>
        <w:jc w:val="center"/>
      </w:pPr>
      <w:r>
        <w:rPr>
          <w:i/>
          <w:iCs/>
          <w:color w:val="888888"/>
          <w:sz w:val="20"/>
          <w:szCs w:val="20"/>
        </w:rPr>
        <w:t xml:space="preserve">End of Modernized Credit Risk Model — Hybrid Target Variable Update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2026-03-19T12:49:01.848Z</dcterms:created>
  <dcterms:modified xsi:type="dcterms:W3CDTF">2026-03-19T12:49:01.849Z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