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3231B"/>
          <w:sz w:val="34"/>
        </w:rPr>
        <w:t>Gaining a Statistical Edge in Soccer Prediction using Machine Learning</w:t>
      </w:r>
    </w:p>
    <w:p>
      <w:pPr>
        <w:spacing w:after="80"/>
        <w:jc w:val="center"/>
      </w:pPr>
      <w:r>
        <w:rPr>
          <w:color w:val="51635A"/>
          <w:sz w:val="25"/>
        </w:rPr>
        <w:t>Role of Meta-Statistics in Match Prediction</w:t>
      </w:r>
    </w:p>
    <w:p>
      <w:pPr>
        <w:spacing w:after="280"/>
        <w:jc w:val="center"/>
      </w:pPr>
      <w:r>
        <w:rPr>
          <w:color w:val="51635A"/>
          <w:sz w:val="19"/>
        </w:rPr>
        <w:t>Team 20 — Kenche Srujana (PES1UG24CS227), Krishna Keerthan Reddy D R (PES1UG24CS237)  |  UE24CS352A — Machine Learning, PES University</w:t>
      </w:r>
    </w:p>
    <w:p>
      <w:pPr>
        <w:spacing w:before="200" w:after="80"/>
      </w:pPr>
      <w:r>
        <w:rPr>
          <w:b/>
          <w:color w:val="1F6B3F"/>
          <w:sz w:val="25"/>
        </w:rPr>
        <w:t>1. Problem Statement</w:t>
      </w:r>
    </w:p>
    <w:p>
      <w:pPr>
        <w:spacing w:after="120"/>
      </w:pPr>
      <w:r>
        <w:rPr>
          <w:sz w:val="21"/>
        </w:rPr>
        <w:t>Predicting the outcome of a football match (Home win, Draw, or Away win) is a three-class classification problem. Naive approaches lean on raw per-match statistics (goals, shots) which are themselves outcomes of the match being predicted, so simple averages of them carry limited forward-looking signal. This project tests whether replacing raw statistics with meta-statistics — engineered features summarizing a team's broader context (strength rating, recent form, head-to-head history, rest, and the betting market's own prediction) — gives a measurably better predictive edge.</w:t>
      </w:r>
    </w:p>
    <w:p>
      <w:pPr>
        <w:spacing w:before="200" w:after="80"/>
      </w:pPr>
      <w:r>
        <w:rPr>
          <w:b/>
          <w:color w:val="1F6B3F"/>
          <w:sz w:val="25"/>
        </w:rPr>
        <w:t>2. Dataset</w:t>
      </w:r>
    </w:p>
    <w:p>
      <w:pPr>
        <w:spacing w:after="120"/>
      </w:pPr>
      <w:r>
        <w:rPr>
          <w:sz w:val="21"/>
        </w:rPr>
        <w:t>English Premier League match data from football-data.co.uk, covering six seasons (2019/20–2024/25, ~2,280 matches). Each record has the match date, teams, full-time score/result, shot counts, and average closing betting odds across bookmakers. Data is fetched live inside the notebook at runtime — no manual download required.</w:t>
      </w:r>
    </w:p>
    <w:p>
      <w:pPr>
        <w:spacing w:before="200" w:after="80"/>
      </w:pPr>
      <w:r>
        <w:rPr>
          <w:b/>
          <w:color w:val="1F6B3F"/>
          <w:sz w:val="25"/>
        </w:rPr>
        <w:t>3. Approach</w:t>
      </w:r>
    </w:p>
    <w:p>
      <w:pPr>
        <w:spacing w:after="120"/>
      </w:pPr>
      <w:r>
        <w:rPr>
          <w:b/>
          <w:sz w:val="21"/>
        </w:rPr>
        <w:t xml:space="preserve">Leakage prevention.  </w:t>
      </w:r>
      <w:r>
        <w:rPr>
          <w:sz w:val="21"/>
        </w:rPr>
        <w:t>Every feature for a match uses only information available strictly before kickoff. Matches are processed in chronological order, maintaining running per-team state (Elo rating, recent results, goal difference, head-to-head record), updated only after a match's features are recorded.</w:t>
      </w:r>
    </w:p>
    <w:p>
      <w:pPr>
        <w:spacing w:after="120"/>
      </w:pPr>
      <w:r>
        <w:rPr>
          <w:sz w:val="21"/>
        </w:rPr>
        <w:t>Two feature sets, compared head-to-head using identical models:</w:t>
      </w:r>
    </w:p>
    <w:p>
      <w:pPr>
        <w:pStyle w:val="ListBullet"/>
        <w:spacing w:after="80"/>
      </w:pPr>
      <w:r>
        <w:rPr>
          <w:sz w:val="21"/>
        </w:rPr>
        <w:t>Baseline (raw statistics): rolling averages (last 5 matches) of each team's own goals scored, goal difference, and shots.</w:t>
      </w:r>
    </w:p>
    <w:p>
      <w:pPr>
        <w:pStyle w:val="ListBullet"/>
        <w:spacing w:after="80"/>
      </w:pPr>
      <w:r>
        <w:rPr>
          <w:sz w:val="21"/>
        </w:rPr>
        <w:t>Meta-statistics: Elo rating difference (dynamic strength rating, K=20, +100 home advantage), form difference (points/game, last 5), goal-difference trend, rest-day difference, head-to-head home win rate, and de-vigorized market-implied win/draw/loss probability.</w:t>
      </w:r>
    </w:p>
    <w:p>
      <w:pPr>
        <w:spacing w:after="120"/>
      </w:pPr>
      <w:r>
        <w:rPr>
          <w:b/>
          <w:sz w:val="21"/>
        </w:rPr>
        <w:t xml:space="preserve">Train/test split  </w:t>
      </w:r>
      <w:r>
        <w:rPr>
          <w:sz w:val="21"/>
        </w:rPr>
        <w:t>is chronological, not random: the first five seasons train the model; the most recent season (2024/25) is held out entirely as the test set, mirroring the real-world task of predicting future matches from past data.</w:t>
      </w:r>
    </w:p>
    <w:p>
      <w:pPr>
        <w:spacing w:after="120"/>
      </w:pPr>
      <w:r>
        <w:rPr>
          <w:b/>
          <w:sz w:val="21"/>
        </w:rPr>
        <w:t xml:space="preserve">Models:  </w:t>
      </w:r>
      <w:r>
        <w:rPr>
          <w:sz w:val="21"/>
        </w:rPr>
        <w:t>Logistic Regression and Random Forest, trained identically on each feature set (median imputation for early-season missing history, standard scaling), so any accuracy difference is attributable to the features, not the model.</w:t>
      </w:r>
    </w:p>
    <w:p>
      <w:pPr>
        <w:spacing w:before="200" w:after="80"/>
      </w:pPr>
      <w:r>
        <w:rPr>
          <w:b/>
          <w:color w:val="1F6B3F"/>
          <w:sz w:val="25"/>
        </w:rPr>
        <w:t>4. Implementation Overview</w:t>
      </w:r>
    </w:p>
    <w:p>
      <w:pPr>
        <w:spacing w:after="120"/>
      </w:pPr>
      <w:r>
        <w:rPr>
          <w:sz w:val="21"/>
        </w:rPr>
        <w:t>The pipeline (notebooks/Soccer_Match_Prediction.ipynb) runs end-to-end: (1) download and concatenate 6 seasons of CSVs, (2) clean columns, parse dates, compute de-vigorized market probabilities, (3) exploratory analysis of result/goal distributions, (4) leakage-free feature engineering via the chronological Elo/form loop, (5) chronological train/test split, (6) train Logistic Regression and Random Forest on baseline, meta-statistic, and combined feature sets, evaluating accuracy, macro-F1, and log-loss, and (7) confusion matrix and feature-importance analysis for the best-performing feature set.</w:t>
      </w:r>
    </w:p>
    <w:p>
      <w:pPr>
        <w:spacing w:before="200" w:after="80"/>
      </w:pPr>
      <w:r>
        <w:rPr>
          <w:b/>
          <w:color w:val="1F6B3F"/>
          <w:sz w:val="25"/>
        </w:rPr>
        <w:t>5. Results</w:t>
      </w:r>
    </w:p>
    <w:p>
      <w:pPr>
        <w:spacing w:after="120"/>
      </w:pPr>
      <w:r>
        <w:rPr>
          <w:sz w:val="21"/>
        </w:rPr>
        <w:t>Test set: held-out 2024/25 season (380 matches).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Feature Set</w:t>
            </w:r>
          </w:p>
        </w:tc>
        <w:tc>
          <w:tcPr>
            <w:tcW w:type="dxa" w:w="1656"/>
            <w:shd w:val="clear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Model</w:t>
            </w:r>
          </w:p>
        </w:tc>
        <w:tc>
          <w:tcPr>
            <w:tcW w:type="dxa" w:w="1368"/>
            <w:shd w:val="clear" w:fill="1F3864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Accuracy</w:t>
            </w:r>
          </w:p>
        </w:tc>
        <w:tc>
          <w:tcPr>
            <w:tcW w:type="dxa" w:w="1512"/>
            <w:shd w:val="clear" w:fill="1F3864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F1 (macro)</w:t>
            </w:r>
          </w:p>
        </w:tc>
        <w:tc>
          <w:tcPr>
            <w:tcW w:type="dxa" w:w="1368"/>
            <w:shd w:val="clear" w:fill="1F3864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Log-loss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3231B"/>
                <w:sz w:val="19"/>
              </w:rPr>
              <w:t>Majority-class baseline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color w:val="13231B"/>
                <w:sz w:val="19"/>
              </w:rPr>
              <w:t>-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13231B"/>
                <w:sz w:val="19"/>
              </w:rPr>
              <w:t>0.408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13231B"/>
                <w:sz w:val="19"/>
              </w:rPr>
              <w:t>-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13231B"/>
                <w:sz w:val="19"/>
              </w:rPr>
              <w:t>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3231B"/>
                <w:sz w:val="19"/>
              </w:rPr>
              <w:t>Baseline (raw stats)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color w:val="13231B"/>
                <w:sz w:val="19"/>
              </w:rPr>
              <w:t>LogReg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13231B"/>
                <w:sz w:val="19"/>
              </w:rPr>
              <w:t>0.505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13231B"/>
                <w:sz w:val="19"/>
              </w:rPr>
              <w:t>0.378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13231B"/>
                <w:sz w:val="19"/>
              </w:rPr>
              <w:t>1.022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3231B"/>
                <w:sz w:val="19"/>
              </w:rPr>
              <w:t>Baseline (raw stats)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color w:val="13231B"/>
                <w:sz w:val="19"/>
              </w:rPr>
              <w:t>RandForest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13231B"/>
                <w:sz w:val="19"/>
              </w:rPr>
              <w:t>0.500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13231B"/>
                <w:sz w:val="19"/>
              </w:rPr>
              <w:t>0.372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13231B"/>
                <w:sz w:val="19"/>
              </w:rPr>
              <w:t>1.049</w:t>
            </w:r>
          </w:p>
        </w:tc>
      </w:tr>
      <w:tr>
        <w:tc>
          <w:tcPr>
            <w:tcW w:type="dxa" w:w="2880"/>
            <w:shd w:val="clear" w:fill="D9E6F5"/>
          </w:tcPr>
          <w:p>
            <w:r/>
            <w:r>
              <w:rPr>
                <w:rFonts w:ascii="Calibri" w:hAnsi="Calibri"/>
                <w:b/>
                <w:color w:val="13231B"/>
                <w:sz w:val="19"/>
              </w:rPr>
              <w:t>Meta-statistics</w:t>
            </w:r>
          </w:p>
        </w:tc>
        <w:tc>
          <w:tcPr>
            <w:tcW w:type="dxa" w:w="1656"/>
            <w:shd w:val="clear" w:fill="D9E6F5"/>
          </w:tcPr>
          <w:p>
            <w:r/>
            <w:r>
              <w:rPr>
                <w:rFonts w:ascii="Calibri" w:hAnsi="Calibri"/>
                <w:b/>
                <w:color w:val="13231B"/>
                <w:sz w:val="19"/>
              </w:rPr>
              <w:t>LogReg</w:t>
            </w:r>
          </w:p>
        </w:tc>
        <w:tc>
          <w:tcPr>
            <w:tcW w:type="dxa" w:w="1368"/>
            <w:shd w:val="clear" w:fill="D9E6F5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13231B"/>
                <w:sz w:val="19"/>
              </w:rPr>
              <w:t>0.545</w:t>
            </w:r>
          </w:p>
        </w:tc>
        <w:tc>
          <w:tcPr>
            <w:tcW w:type="dxa" w:w="1512"/>
            <w:shd w:val="clear" w:fill="D9E6F5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13231B"/>
                <w:sz w:val="19"/>
              </w:rPr>
              <w:t>0.409</w:t>
            </w:r>
          </w:p>
        </w:tc>
        <w:tc>
          <w:tcPr>
            <w:tcW w:type="dxa" w:w="1368"/>
            <w:shd w:val="clear" w:fill="D9E6F5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13231B"/>
                <w:sz w:val="19"/>
              </w:rPr>
              <w:t>0.977</w:t>
            </w:r>
          </w:p>
        </w:tc>
      </w:tr>
      <w:tr>
        <w:tc>
          <w:tcPr>
            <w:tcW w:type="dxa" w:w="2880"/>
            <w:shd w:val="clear" w:fill="D9E6F5"/>
          </w:tcPr>
          <w:p>
            <w:r/>
            <w:r>
              <w:rPr>
                <w:rFonts w:ascii="Calibri" w:hAnsi="Calibri"/>
                <w:b/>
                <w:color w:val="13231B"/>
                <w:sz w:val="19"/>
              </w:rPr>
              <w:t>Meta-statistics</w:t>
            </w:r>
          </w:p>
        </w:tc>
        <w:tc>
          <w:tcPr>
            <w:tcW w:type="dxa" w:w="1656"/>
            <w:shd w:val="clear" w:fill="D9E6F5"/>
          </w:tcPr>
          <w:p>
            <w:r/>
            <w:r>
              <w:rPr>
                <w:rFonts w:ascii="Calibri" w:hAnsi="Calibri"/>
                <w:b/>
                <w:color w:val="13231B"/>
                <w:sz w:val="19"/>
              </w:rPr>
              <w:t>RandForest</w:t>
            </w:r>
          </w:p>
        </w:tc>
        <w:tc>
          <w:tcPr>
            <w:tcW w:type="dxa" w:w="1368"/>
            <w:shd w:val="clear" w:fill="D9E6F5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13231B"/>
                <w:sz w:val="19"/>
              </w:rPr>
              <w:t>0.542</w:t>
            </w:r>
          </w:p>
        </w:tc>
        <w:tc>
          <w:tcPr>
            <w:tcW w:type="dxa" w:w="1512"/>
            <w:shd w:val="clear" w:fill="D9E6F5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13231B"/>
                <w:sz w:val="19"/>
              </w:rPr>
              <w:t>0.409</w:t>
            </w:r>
          </w:p>
        </w:tc>
        <w:tc>
          <w:tcPr>
            <w:tcW w:type="dxa" w:w="1368"/>
            <w:shd w:val="clear" w:fill="D9E6F5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13231B"/>
                <w:sz w:val="19"/>
              </w:rPr>
              <w:t>0.966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3231B"/>
                <w:sz w:val="19"/>
              </w:rPr>
              <w:t>Combined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color w:val="13231B"/>
                <w:sz w:val="19"/>
              </w:rPr>
              <w:t>LogReg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13231B"/>
                <w:sz w:val="19"/>
              </w:rPr>
              <w:t>0.542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13231B"/>
                <w:sz w:val="19"/>
              </w:rPr>
              <w:t>0.406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13231B"/>
                <w:sz w:val="19"/>
              </w:rPr>
              <w:t>0.981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3231B"/>
                <w:sz w:val="19"/>
              </w:rPr>
              <w:t>Combined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color w:val="13231B"/>
                <w:sz w:val="19"/>
              </w:rPr>
              <w:t>RandForest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13231B"/>
                <w:sz w:val="19"/>
              </w:rPr>
              <w:t>0.537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13231B"/>
                <w:sz w:val="19"/>
              </w:rPr>
              <w:t>0.405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13231B"/>
                <w:sz w:val="19"/>
              </w:rPr>
              <w:t>0.977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1635A"/>
          <w:sz w:val="17"/>
        </w:rPr>
        <w:t>Figure 1. Test-set accuracy by feature set and model, vs. majority-class floor.</w:t>
      </w:r>
    </w:p>
    <w:p>
      <w:pPr>
        <w:spacing w:after="120"/>
      </w:pPr>
      <w:r>
        <w:rPr>
          <w:sz w:val="21"/>
        </w:rPr>
        <w:t>By feature importance, market-implied probability and Elo rating difference are the two strongest individual predictors (Figure 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080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08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1635A"/>
          <w:sz w:val="17"/>
        </w:rPr>
        <w:t>Figure 2. Feature importance, meta-statistics Random Forest.</w:t>
      </w:r>
    </w:p>
    <w:p>
      <w:pPr>
        <w:spacing w:before="200" w:after="80"/>
      </w:pPr>
      <w:r>
        <w:rPr>
          <w:b/>
          <w:color w:val="1F6B3F"/>
          <w:sz w:val="25"/>
        </w:rPr>
        <w:t>6. Conclusions</w:t>
      </w:r>
    </w:p>
    <w:p>
      <w:pPr>
        <w:pStyle w:val="ListBullet"/>
        <w:spacing w:after="80"/>
      </w:pPr>
      <w:r>
        <w:rPr>
          <w:sz w:val="21"/>
        </w:rPr>
        <w:t>A majority-class guess (“always predict Home win”) reaches ~41% accuracy — the floor any useful model must beat.</w:t>
      </w:r>
    </w:p>
    <w:p>
      <w:pPr>
        <w:pStyle w:val="ListBullet"/>
        <w:spacing w:after="80"/>
      </w:pPr>
      <w:r>
        <w:rPr>
          <w:sz w:val="21"/>
        </w:rPr>
        <w:t>Raw per-match statistics, rolling-averaged, barely clear that floor (~50%).</w:t>
      </w:r>
    </w:p>
    <w:p>
      <w:pPr>
        <w:pStyle w:val="ListBullet"/>
        <w:spacing w:after="80"/>
      </w:pPr>
      <w:r>
        <w:rPr>
          <w:sz w:val="21"/>
        </w:rPr>
        <w:t>Meta-statistics give a clear, consistent lift over the raw-stats baseline (~4 points of accuracy, lower log-loss) for both a linear and a tree-based model, showing the effect comes from the features, not the model choice.</w:t>
      </w:r>
    </w:p>
    <w:p>
      <w:pPr>
        <w:pStyle w:val="ListBullet"/>
        <w:spacing w:after="80"/>
      </w:pPr>
      <w:r>
        <w:rPr>
          <w:sz w:val="21"/>
        </w:rPr>
        <w:t>Combining both feature sets does not beat meta-statistics alone — raw rolling stats add little beyond what Elo, form, and market odds already capture.</w:t>
      </w:r>
    </w:p>
    <w:p>
      <w:pPr>
        <w:pStyle w:val="ListBullet"/>
        <w:spacing w:after="80"/>
      </w:pPr>
      <w:r>
        <w:rPr>
          <w:sz w:val="21"/>
        </w:rPr>
        <w:t>This supports the project's thesis: aggregated, context-aware “meta” statistics carry a genuine statistical edge over raw per-match numbers for predicting soccer match outcomes.</w:t>
      </w:r>
    </w:p>
    <w:p>
      <w:pPr>
        <w:spacing w:after="120"/>
      </w:pPr>
      <w:r>
        <w:rPr>
          <w:b/>
          <w:sz w:val="21"/>
        </w:rPr>
        <w:t xml:space="preserve">Limitations &amp; future work:  </w:t>
      </w:r>
      <w:r>
        <w:rPr>
          <w:sz w:val="21"/>
        </w:rPr>
        <w:t>no player-level data (injuries, lineups, transfers) is used; results are specific to one league. Future work could add gradient boosting with tuned hyperparameters, multi-league generalization, and recency-weighted Elo updates.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323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Gaining a Statistical Edge in Soccer Prediction using Machine Learning</dc:title>
  <dc:subject>UE24CS352A Machine Learning Mini-Project Write-up</dc:subject>
  <dc:creator>Kenche Srujana, Krishna Keerthan Reddy D 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