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A365D"/>
          <w:sz w:val="48"/>
        </w:rPr>
        <w:t>PharmaGuard: Tool-Grounded LLM Agent for Pharmacovigilance Signal Triage</w:t>
      </w:r>
    </w:p>
    <w:p>
      <w:pPr>
        <w:spacing w:before="0" w:after="560"/>
        <w:jc w:val="center"/>
      </w:pPr>
      <w:r>
        <w:rPr>
          <w:rFonts w:ascii="Calibri" w:hAnsi="Calibri"/>
          <w:color w:val="4A5568"/>
          <w:sz w:val="26"/>
        </w:rPr>
        <w:t>Comprehensive Project Status &amp; Progress Briefing — Group 07</w:t>
      </w:r>
    </w:p>
    <w:tbl>
      <w:tblPr>
        <w:tblW w:type="auto" w:w="0"/>
        <w:jc w:val="center"/>
        <w:tblLayout w:type="fixed"/>
        <w:tblLook w:firstColumn="1" w:firstRow="1" w:lastColumn="0" w:lastRow="0" w:noHBand="0" w:noVBand="1" w:val="04A0"/>
      </w:tblPr>
      <w:tblGrid>
        <w:gridCol w:w="4680"/>
        <w:gridCol w:w="4680"/>
      </w:tblGrid>
      <w:tr>
        <w:tc>
          <w:tcPr>
            <w:tcW w:type="dxa" w:w="3168"/>
            <w:shd w:fill="F7FAFC"/>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b/>
                <w:color w:val="1A365D"/>
                <w:sz w:val="20"/>
              </w:rPr>
              <w:t>Course &amp; Degree:</w:t>
            </w:r>
          </w:p>
        </w:tc>
        <w:tc>
          <w:tcPr>
            <w:tcW w:type="dxa" w:w="6192"/>
            <w:shd w:fill="FFFFFF"/>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color w:val="2D3748"/>
                <w:sz w:val="20"/>
              </w:rPr>
              <w:t>B.Tech (Information Technology), 7th Semester Major Project</w:t>
            </w:r>
          </w:p>
        </w:tc>
      </w:tr>
      <w:tr>
        <w:tc>
          <w:tcPr>
            <w:tcW w:type="dxa" w:w="3168"/>
            <w:shd w:fill="F7FAFC"/>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b/>
                <w:color w:val="1A365D"/>
                <w:sz w:val="20"/>
              </w:rPr>
              <w:t>Institution:</w:t>
            </w:r>
          </w:p>
        </w:tc>
        <w:tc>
          <w:tcPr>
            <w:tcW w:type="dxa" w:w="6192"/>
            <w:shd w:fill="FFFFFF"/>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color w:val="2D3748"/>
                <w:sz w:val="20"/>
              </w:rPr>
              <w:t>Indian Institute of Information Technology, Allahabad (IIIT-A)</w:t>
            </w:r>
          </w:p>
        </w:tc>
      </w:tr>
      <w:tr>
        <w:tc>
          <w:tcPr>
            <w:tcW w:type="dxa" w:w="3168"/>
            <w:shd w:fill="F7FAFC"/>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b/>
                <w:color w:val="1A365D"/>
                <w:sz w:val="20"/>
              </w:rPr>
              <w:t>Project Group:</w:t>
            </w:r>
          </w:p>
        </w:tc>
        <w:tc>
          <w:tcPr>
            <w:tcW w:type="dxa" w:w="6192"/>
            <w:shd w:fill="FFFFFF"/>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color w:val="2D3748"/>
                <w:sz w:val="20"/>
              </w:rPr>
              <w:t>Group 07</w:t>
            </w:r>
          </w:p>
        </w:tc>
      </w:tr>
      <w:tr>
        <w:tc>
          <w:tcPr>
            <w:tcW w:type="dxa" w:w="3168"/>
            <w:shd w:fill="F7FAFC"/>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b/>
                <w:color w:val="1A365D"/>
                <w:sz w:val="20"/>
              </w:rPr>
              <w:t>Student Investigators:</w:t>
            </w:r>
          </w:p>
        </w:tc>
        <w:tc>
          <w:tcPr>
            <w:tcW w:type="dxa" w:w="6192"/>
            <w:shd w:fill="FFFFFF"/>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color w:val="2D3748"/>
                <w:sz w:val="20"/>
              </w:rPr>
              <w:t>Krishna Sikheriya (IIT2023139) [Lead], Lokesh, Naitik</w:t>
            </w:r>
          </w:p>
        </w:tc>
      </w:tr>
      <w:tr>
        <w:tc>
          <w:tcPr>
            <w:tcW w:type="dxa" w:w="3168"/>
            <w:shd w:fill="F7FAFC"/>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b/>
                <w:color w:val="1A365D"/>
                <w:sz w:val="20"/>
              </w:rPr>
              <w:t>Project Supervisor:</w:t>
            </w:r>
          </w:p>
        </w:tc>
        <w:tc>
          <w:tcPr>
            <w:tcW w:type="dxa" w:w="6192"/>
            <w:shd w:fill="FFFFFF"/>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color w:val="2D3748"/>
                <w:sz w:val="20"/>
              </w:rPr>
              <w:t>Dr. Nikhilanand Arya, Assistant Professor, Department of IT</w:t>
            </w:r>
          </w:p>
        </w:tc>
      </w:tr>
      <w:tr>
        <w:tc>
          <w:tcPr>
            <w:tcW w:type="dxa" w:w="3168"/>
            <w:shd w:fill="F7FAFC"/>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b/>
                <w:color w:val="1A365D"/>
                <w:sz w:val="20"/>
              </w:rPr>
              <w:t>Date of Submission:</w:t>
            </w:r>
          </w:p>
        </w:tc>
        <w:tc>
          <w:tcPr>
            <w:tcW w:type="dxa" w:w="6192"/>
            <w:shd w:fill="FFFFFF"/>
            <w:tcMar>
              <w:top w:w="60" w:type="dxa"/>
              <w:bottom w:w="60" w:type="dxa"/>
              <w:left w:w="100" w:type="dxa"/>
              <w:right w:w="100" w:type="dxa"/>
            </w:tcMar>
            <w:tcBorders>
              <w:top w:val="none" w:sz="4" w:space="0" w:color="E2E8F0"/>
              <w:bottom w:val="single" w:sz="4" w:space="0" w:color="E2E8F0"/>
              <w:left w:val="none" w:sz="4" w:space="0" w:color="E2E8F0"/>
              <w:right w:val="none" w:sz="4" w:space="0" w:color="E2E8F0"/>
            </w:tcBorders>
          </w:tcPr>
          <w:p>
            <w:pPr>
              <w:spacing w:after="0"/>
            </w:pPr>
            <w:r>
              <w:rPr>
                <w:rFonts w:ascii="Calibri" w:hAnsi="Calibri"/>
                <w:color w:val="2D3748"/>
                <w:sz w:val="20"/>
              </w:rPr>
              <w:t>September 3, 2026</w:t>
            </w:r>
          </w:p>
        </w:tc>
      </w:tr>
    </w:tbl>
    <w:p>
      <w:pPr>
        <w:spacing w:after="360"/>
      </w:pPr>
    </w:p>
    <w:p>
      <w:r>
        <w:br w:type="page"/>
      </w:r>
    </w:p>
    <w:p>
      <w:pPr>
        <w:keepNext/>
        <w:spacing w:before="360" w:after="120"/>
      </w:pPr>
      <w:r>
        <w:rPr>
          <w:rFonts w:ascii="Calibri" w:hAnsi="Calibri"/>
          <w:b/>
          <w:color w:val="1A365D"/>
          <w:sz w:val="30"/>
        </w:rPr>
        <w:t>1. Project Overview &amp; Research Context</w:t>
      </w:r>
    </w:p>
    <w:p>
      <w:pPr>
        <w:spacing w:before="0" w:after="120" w:line="276" w:lineRule="auto"/>
      </w:pPr>
      <w:r>
        <w:rPr>
          <w:rFonts w:ascii="Calibri" w:hAnsi="Calibri"/>
          <w:i w:val="0"/>
          <w:color w:val="2D3748"/>
          <w:sz w:val="21"/>
        </w:rPr>
        <w:t>PharmaGuard is an autonomous, tool-grounded clinical artificial intelligence architecture designed to automate and audit the high-stakes triage of postmarketing drug safety signals. Postmarketing surveillance databases such as the FDA Adverse Event Reporting System (FAERS) receive millions of spontaneous adverse drug event reports annually, creating an acute triage bottleneck for clinical safety teams tasked with differentiating true emerging adverse reactions from benign reporting noise and polypharmacy confounding. Unconstrained, single-shot Large Language Models (LLMs) exhibit severe clinical failure modes when applied to this domain, including parametric hallucinations (elaborating on unsubstantiated claims in up to 83% of edge cases), temporal confusion (recalling historical concerns that were later formally investigated and dismissed), and uncalibrated self-reported confidence. PharmaGuard solves this vulnerability by constraining LLM reasoning strictly to real-time, multi-source external biomedical evidence—combining openFDA FAERS disproportionality statistics (PRR/ROR), ChEMBL molecular target pharmacology, and PubMed literature grading through a deterministic linear confidence formula ($0.40 \cdot S_{\text{FAERS}} + 0.40 \cdot S_{\text{Lit}} + 0.20 \cdot S_{\text{Mech}}$) and auditable safety gating (ESCALATE / MONITOR / DO_NOT_ESCALATE). Notably, the project executed an intentional and documented research pivot in August 2026 from an earlier multi-agent oncology tumor-board simulation concept ('OncoSwarm'); landscape research revealed that the oncology tumor-board niche had already been saturated by a published, deployed Stanford system, prompting the team to pivot to the unaddressed, high-impact problem of verifiable pharmacovigilance signal triage.</w:t>
      </w:r>
    </w:p>
    <w:p>
      <w:pPr>
        <w:keepNext/>
        <w:spacing w:before="360" w:after="120"/>
      </w:pPr>
      <w:r>
        <w:rPr>
          <w:rFonts w:ascii="Calibri" w:hAnsi="Calibri"/>
          <w:b/>
          <w:color w:val="1A365D"/>
          <w:sz w:val="30"/>
        </w:rPr>
        <w:t>2. Work Completed So Far</w:t>
      </w:r>
    </w:p>
    <w:p>
      <w:pPr>
        <w:keepNext/>
        <w:spacing w:before="240" w:after="80"/>
      </w:pPr>
      <w:r>
        <w:rPr>
          <w:rFonts w:ascii="Calibri" w:hAnsi="Calibri"/>
          <w:b/>
          <w:color w:val="2B6CB0"/>
          <w:sz w:val="25"/>
        </w:rPr>
        <w:t>2.1 Multi-Source Evidence Grounding Pipeline</w:t>
      </w:r>
    </w:p>
    <w:p>
      <w:pPr>
        <w:spacing w:before="0" w:after="120" w:line="276" w:lineRule="auto"/>
      </w:pPr>
      <w:r>
        <w:rPr>
          <w:rFonts w:ascii="Calibri" w:hAnsi="Calibri"/>
          <w:i w:val="0"/>
          <w:color w:val="2D3748"/>
          <w:sz w:val="21"/>
        </w:rPr>
        <w:t>The core data ingestion and tool-calling layer integrates three independent, publicly accessible biomedical endpoints:</w:t>
      </w:r>
    </w:p>
    <w:p>
      <w:pPr>
        <w:pStyle w:val="ListBullet"/>
        <w:spacing w:before="0" w:after="60" w:line="276" w:lineRule="auto"/>
      </w:pPr>
      <w:r>
        <w:rPr>
          <w:rFonts w:ascii="Calibri" w:hAnsi="Calibri"/>
          <w:b/>
          <w:color w:val="2D3748"/>
          <w:sz w:val="21"/>
        </w:rPr>
        <w:t>openFDA FAERS Disproportionality Engine:</w:t>
      </w:r>
      <w:r>
        <w:rPr>
          <w:rFonts w:ascii="Calibri" w:hAnsi="Calibri"/>
          <w:color w:val="2D3748"/>
          <w:sz w:val="21"/>
        </w:rPr>
        <w:t xml:space="preserve"> Automatically constructs 2x2 contingency tables and calculates Proportional Reporting Ratios (PRR), Reporting Odds Ratios (ROR), and exact log-normal 95% confidence intervals with sample size gating (§1, §11).</w:t>
      </w:r>
    </w:p>
    <w:p>
      <w:pPr>
        <w:pStyle w:val="ListBullet"/>
        <w:spacing w:before="0" w:after="60" w:line="276" w:lineRule="auto"/>
      </w:pPr>
      <w:r>
        <w:rPr>
          <w:rFonts w:ascii="Calibri" w:hAnsi="Calibri"/>
          <w:b/>
          <w:color w:val="2D3748"/>
          <w:sz w:val="21"/>
        </w:rPr>
        <w:t>ChEMBL Molecular Pharmacology Engine:</w:t>
      </w:r>
      <w:r>
        <w:rPr>
          <w:rFonts w:ascii="Calibri" w:hAnsi="Calibri"/>
          <w:color w:val="2D3748"/>
          <w:sz w:val="21"/>
        </w:rPr>
        <w:t xml:space="preserve"> Retrieves target mechanisms of action (MoA) from ChEMBL for 50 benchmark drugs, using structured Pydantic schemas to derive discrete biological plausibility ratings (HIGH=1.0, MODERATE=0.5, LOW=0.0, UNKNOWN=0.0) from biochemical target pathways (§1, §1.1).</w:t>
      </w:r>
    </w:p>
    <w:p>
      <w:pPr>
        <w:pStyle w:val="ListBullet"/>
        <w:spacing w:before="0" w:after="60" w:line="276" w:lineRule="auto"/>
      </w:pPr>
      <w:r>
        <w:rPr>
          <w:rFonts w:ascii="Calibri" w:hAnsi="Calibri"/>
          <w:b/>
          <w:color w:val="2D3748"/>
          <w:sz w:val="21"/>
        </w:rPr>
        <w:t>PubMed Literature Grading Engine:</w:t>
      </w:r>
      <w:r>
        <w:rPr>
          <w:rFonts w:ascii="Calibri" w:hAnsi="Calibri"/>
          <w:color w:val="2D3748"/>
          <w:sz w:val="21"/>
        </w:rPr>
        <w:t xml:space="preserve"> Executes structured NCBI E-utilities queries, extracts abstracts, and applies a formal rubric via LLM evaluation: Grade A (1.0, statistically significant association), Grade B (0.5, case reports/series), and Grade C (0.0, negative or uncorroborated literature) (§7).</w:t>
      </w:r>
    </w:p>
    <w:p>
      <w:pPr>
        <w:pStyle w:val="ListBullet"/>
        <w:spacing w:before="0" w:after="60" w:line="276" w:lineRule="auto"/>
      </w:pPr>
      <w:r>
        <w:rPr>
          <w:rFonts w:ascii="Calibri" w:hAnsi="Calibri"/>
          <w:b/>
          <w:color w:val="2D3748"/>
          <w:sz w:val="21"/>
        </w:rPr>
        <w:t>Deterministic Disk Cache:</w:t>
      </w:r>
      <w:r>
        <w:rPr>
          <w:rFonts w:ascii="Calibri" w:hAnsi="Calibri"/>
          <w:color w:val="2D3748"/>
          <w:sz w:val="21"/>
        </w:rPr>
        <w:t xml:space="preserve"> Persistent disk-backed caching layer (schema version v7) that guarantees 100% zero-cost, offline reproducibility and prevents API rate-limit exhaustion during repeated benchmarks (§3, §6).</w:t>
      </w:r>
    </w:p>
    <w:p>
      <w:pPr>
        <w:keepNext/>
        <w:spacing w:before="240" w:after="80"/>
      </w:pPr>
      <w:r>
        <w:rPr>
          <w:rFonts w:ascii="Calibri" w:hAnsi="Calibri"/>
          <w:b/>
          <w:color w:val="2B6CB0"/>
          <w:sz w:val="25"/>
        </w:rPr>
        <w:t>2.2 Deterministic Decision Logic &amp; Dual Orchestration Engines</w:t>
      </w:r>
    </w:p>
    <w:p>
      <w:pPr>
        <w:spacing w:before="0" w:after="120" w:line="276" w:lineRule="auto"/>
      </w:pPr>
      <w:r>
        <w:rPr>
          <w:rFonts w:ascii="Calibri" w:hAnsi="Calibri"/>
          <w:i w:val="0"/>
          <w:color w:val="2D3748"/>
          <w:sz w:val="21"/>
        </w:rPr>
        <w:t>To prevent generative LLMs from tampering with final clinical decisions, PharmaGuard enforces a closed-form, transparent mathematical confidence score (§12):</w:t>
      </w:r>
    </w:p>
    <w:p>
      <w:pPr>
        <w:spacing w:before="0" w:after="120" w:line="276" w:lineRule="auto"/>
      </w:pPr>
      <w:r>
        <w:rPr>
          <w:rFonts w:ascii="Calibri" w:hAnsi="Calibri"/>
          <w:b/>
          <w:color w:val="2D3748"/>
          <w:sz w:val="21"/>
        </w:rPr>
        <w:t xml:space="preserve">Linear Formula: </w:t>
      </w:r>
      <w:r>
        <w:rPr>
          <w:rFonts w:ascii="Calibri" w:hAnsi="Calibri"/>
          <w:i/>
          <w:color w:val="2D3748"/>
          <w:sz w:val="21"/>
        </w:rPr>
        <w:t>Confidence = 0.40 × S_FAERS + 0.40 × S_PubMed + 0.20 × S_ChEMBL</w:t>
      </w:r>
    </w:p>
    <w:p>
      <w:pPr>
        <w:spacing w:before="0" w:after="120" w:line="276" w:lineRule="auto"/>
      </w:pPr>
      <w:r>
        <w:rPr>
          <w:rFonts w:ascii="Calibri" w:hAnsi="Calibri"/>
          <w:i w:val="0"/>
          <w:color w:val="2D3748"/>
          <w:sz w:val="21"/>
        </w:rPr>
        <w:t>Triage decisions are governed by a 4-tier hierarchical safety gate (§4, §18):</w:t>
      </w:r>
    </w:p>
    <w:p>
      <w:pPr>
        <w:pStyle w:val="ListBullet"/>
        <w:spacing w:before="0" w:after="60" w:line="276" w:lineRule="auto"/>
      </w:pPr>
      <w:r>
        <w:rPr>
          <w:rFonts w:ascii="Calibri" w:hAnsi="Calibri"/>
          <w:b/>
          <w:color w:val="2D3748"/>
          <w:sz w:val="21"/>
        </w:rPr>
        <w:t>Gate 1 (Hard Empirical Floor):</w:t>
      </w:r>
      <w:r>
        <w:rPr>
          <w:rFonts w:ascii="Calibri" w:hAnsi="Calibri"/>
          <w:color w:val="2D3748"/>
          <w:sz w:val="21"/>
        </w:rPr>
        <w:t xml:space="preserve"> If FAERS signal_strength == NO_SIGNAL, the system unconditionally returns DO_NOT_ESCALATE. This non-negotiable floor prevents speculative escalations on zero-report pairs regardless of literature or plausibility scores.</w:t>
      </w:r>
    </w:p>
    <w:p>
      <w:pPr>
        <w:pStyle w:val="ListBullet"/>
        <w:spacing w:before="0" w:after="60" w:line="276" w:lineRule="auto"/>
      </w:pPr>
      <w:r>
        <w:rPr>
          <w:rFonts w:ascii="Calibri" w:hAnsi="Calibri"/>
          <w:b/>
          <w:color w:val="2D3748"/>
          <w:sz w:val="21"/>
        </w:rPr>
        <w:t>Gate 2 (High-Confidence Escalation):</w:t>
      </w:r>
      <w:r>
        <w:rPr>
          <w:rFonts w:ascii="Calibri" w:hAnsi="Calibri"/>
          <w:color w:val="2D3748"/>
          <w:sz w:val="21"/>
        </w:rPr>
        <w:t xml:space="preserve"> If Confidence &gt;= 0.70 and FAERS signal is STRONG or MODERATE, output ESCALATE.</w:t>
      </w:r>
    </w:p>
    <w:p>
      <w:pPr>
        <w:pStyle w:val="ListBullet"/>
        <w:spacing w:before="0" w:after="60" w:line="276" w:lineRule="auto"/>
      </w:pPr>
      <w:r>
        <w:rPr>
          <w:rFonts w:ascii="Calibri" w:hAnsi="Calibri"/>
          <w:b/>
          <w:color w:val="2D3748"/>
          <w:sz w:val="21"/>
        </w:rPr>
        <w:t>Gate 3 (Cautious Monitoring):</w:t>
      </w:r>
      <w:r>
        <w:rPr>
          <w:rFonts w:ascii="Calibri" w:hAnsi="Calibri"/>
          <w:color w:val="2D3748"/>
          <w:sz w:val="21"/>
        </w:rPr>
        <w:t xml:space="preserve"> If Confidence &gt;= 0.35, output MONITOR (modulates emergent signals with mechanistic uncertainty).</w:t>
      </w:r>
    </w:p>
    <w:p>
      <w:pPr>
        <w:pStyle w:val="ListBullet"/>
        <w:spacing w:before="0" w:after="60" w:line="276" w:lineRule="auto"/>
      </w:pPr>
      <w:r>
        <w:rPr>
          <w:rFonts w:ascii="Calibri" w:hAnsi="Calibri"/>
          <w:b/>
          <w:color w:val="2D3748"/>
          <w:sz w:val="21"/>
        </w:rPr>
        <w:t>Gate 4 (Default):</w:t>
      </w:r>
      <w:r>
        <w:rPr>
          <w:rFonts w:ascii="Calibri" w:hAnsi="Calibri"/>
          <w:color w:val="2D3748"/>
          <w:sz w:val="21"/>
        </w:rPr>
        <w:t xml:space="preserve"> All remaining cases default to DO_NOT_ESCALATE.</w:t>
      </w:r>
    </w:p>
    <w:p>
      <w:pPr>
        <w:spacing w:before="0" w:after="120" w:line="276" w:lineRule="auto"/>
      </w:pPr>
      <w:r>
        <w:rPr>
          <w:rFonts w:ascii="Calibri" w:hAnsi="Calibri"/>
          <w:i w:val="0"/>
          <w:color w:val="2D3748"/>
          <w:sz w:val="21"/>
        </w:rPr>
        <w:t>The architecture supports two orchestrators: the primary deterministic Fixed Pipeline Agent (FAERS → ChEMBL → PubMed → Synthesize) and an experimental ReAct LangGraph Agent enforcing strict recursion limits and node isolation (§8, §9, §9.1).</w:t>
      </w:r>
    </w:p>
    <w:p>
      <w:pPr>
        <w:keepNext/>
        <w:spacing w:before="240" w:after="80"/>
      </w:pPr>
      <w:r>
        <w:rPr>
          <w:rFonts w:ascii="Calibri" w:hAnsi="Calibri"/>
          <w:b/>
          <w:color w:val="2B6CB0"/>
          <w:sz w:val="25"/>
        </w:rPr>
        <w:t>2.3 Curated Benchmark Datasets &amp; Ground Truth Provenance</w:t>
      </w:r>
    </w:p>
    <w:p>
      <w:pPr>
        <w:spacing w:before="0" w:after="120" w:line="276" w:lineRule="auto"/>
      </w:pPr>
      <w:r>
        <w:rPr>
          <w:rFonts w:ascii="Calibri" w:hAnsi="Calibri"/>
          <w:i w:val="0"/>
          <w:color w:val="2D3748"/>
          <w:sz w:val="21"/>
        </w:rPr>
        <w:t>The team curated a frozen 15-pair primary benchmark dataset (pharmaguard/data/ground_truth.json) sourced exclusively from official FDA Boxed Warnings, European Medicines Agency (EMA) PRAC assessments, and peer-reviewed disproportionality studies. The dataset spans 7 Confirmed Positives (e.g., clozapine::agranulocytosis, ciprofloxacin::tendon_rupture), 5 Genuine Negative Controls (e.g., metformin::hypoglycaemia, atorvastatin::dementia), and 3 Zero-Report Edge Cases (e.g., adalimumab::frostbite) (§2, §21, §22).</w:t>
      </w:r>
    </w:p>
    <w:p>
      <w:pPr>
        <w:keepNext/>
        <w:spacing w:before="240" w:after="80"/>
      </w:pPr>
      <w:r>
        <w:rPr>
          <w:rFonts w:ascii="Calibri" w:hAnsi="Calibri"/>
          <w:b/>
          <w:color w:val="2B6CB0"/>
          <w:sz w:val="25"/>
        </w:rPr>
        <w:t>2.4 Epistemic Auditing &amp; Novelty Engineering Layer</w:t>
      </w:r>
    </w:p>
    <w:p>
      <w:pPr>
        <w:spacing w:before="0" w:after="120" w:line="276" w:lineRule="auto"/>
      </w:pPr>
      <w:r>
        <w:rPr>
          <w:rFonts w:ascii="Calibri" w:hAnsi="Calibri"/>
          <w:i w:val="0"/>
          <w:color w:val="2D3748"/>
          <w:sz w:val="21"/>
        </w:rPr>
        <w:t>Beyond baseline triage, the project implemented four advanced methodological layers to probe and protect AI reasoning:</w:t>
      </w:r>
    </w:p>
    <w:p>
      <w:pPr>
        <w:pStyle w:val="ListBullet"/>
        <w:spacing w:before="0" w:after="60" w:line="276" w:lineRule="auto"/>
      </w:pPr>
      <w:r>
        <w:rPr>
          <w:rFonts w:ascii="Calibri" w:hAnsi="Calibri"/>
          <w:b/>
          <w:color w:val="2D3748"/>
          <w:sz w:val="21"/>
        </w:rPr>
        <w:t>Adversarial Mechanistic Leakage Critic:</w:t>
      </w:r>
      <w:r>
        <w:rPr>
          <w:rFonts w:ascii="Calibri" w:hAnsi="Calibri"/>
          <w:color w:val="2D3748"/>
          <w:sz w:val="21"/>
        </w:rPr>
        <w:t xml:space="preserve"> A blinded maker-checker critic agent (inspired by the MARCH framework, ACL 2026) that evaluates plausibility rationales with zero exposure to drug names or primary scores, successfully isolating parametric regulatory recall (§27).</w:t>
      </w:r>
    </w:p>
    <w:p>
      <w:pPr>
        <w:pStyle w:val="ListBullet"/>
        <w:spacing w:before="0" w:after="60" w:line="276" w:lineRule="auto"/>
      </w:pPr>
      <w:r>
        <w:rPr>
          <w:rFonts w:ascii="Calibri" w:hAnsi="Calibri"/>
          <w:b/>
          <w:color w:val="2D3748"/>
          <w:sz w:val="21"/>
        </w:rPr>
        <w:t>Polypharmacy Confounding Evaluator:</w:t>
      </w:r>
      <w:r>
        <w:rPr>
          <w:rFonts w:ascii="Calibri" w:hAnsi="Calibri"/>
          <w:color w:val="2D3748"/>
          <w:sz w:val="21"/>
        </w:rPr>
        <w:t xml:space="preserve"> An opt-in clinical evaluator that identifies concomitant medication artifacts (e.g., insulin in metformin therapy) and applies grounded multiplicative discount factors without mutating formula weights (§28).</w:t>
      </w:r>
    </w:p>
    <w:p>
      <w:pPr>
        <w:pStyle w:val="ListBullet"/>
        <w:spacing w:before="0" w:after="60" w:line="276" w:lineRule="auto"/>
      </w:pPr>
      <w:r>
        <w:rPr>
          <w:rFonts w:ascii="Calibri" w:hAnsi="Calibri"/>
          <w:b/>
          <w:color w:val="2D3748"/>
          <w:sz w:val="21"/>
        </w:rPr>
        <w:t>Cross-Source Evidence Agreement Heuristic:</w:t>
      </w:r>
      <w:r>
        <w:rPr>
          <w:rFonts w:ascii="Calibri" w:hAnsi="Calibri"/>
          <w:color w:val="2D3748"/>
          <w:sz w:val="21"/>
        </w:rPr>
        <w:t xml:space="preserve"> A programmatic concordance metric classifying pairs as CONCORDANT or DISCORDANT based on sub-score spreads (max &gt;= 0.66 and min &lt;= 0.33), isolating core epistemic divergence cases (§26).</w:t>
      </w:r>
    </w:p>
    <w:p>
      <w:pPr>
        <w:pStyle w:val="ListBullet"/>
        <w:spacing w:before="0" w:after="60" w:line="276" w:lineRule="auto"/>
      </w:pPr>
      <w:r>
        <w:rPr>
          <w:rFonts w:ascii="Calibri" w:hAnsi="Calibri"/>
          <w:b/>
          <w:color w:val="2D3748"/>
          <w:sz w:val="21"/>
        </w:rPr>
        <w:t>Leave-One-Out (LOO) Stability Analysis:</w:t>
      </w:r>
      <w:r>
        <w:rPr>
          <w:rFonts w:ascii="Calibri" w:hAnsi="Calibri"/>
          <w:color w:val="2D3748"/>
          <w:sz w:val="21"/>
        </w:rPr>
        <w:t xml:space="preserve"> Systematic 15-fold cross-validation without pipeline re-execution to verify that benchmark metrics do not depend fragilely on any single drug-event pair (§29).</w:t>
      </w:r>
    </w:p>
    <w:p>
      <w:pPr>
        <w:keepNext/>
        <w:spacing w:before="240" w:after="80"/>
      </w:pPr>
      <w:r>
        <w:rPr>
          <w:rFonts w:ascii="Calibri" w:hAnsi="Calibri"/>
          <w:b/>
          <w:color w:val="2B6CB0"/>
          <w:sz w:val="25"/>
        </w:rPr>
        <w:t>2.5 Secondary OMOP Benchmark Pilot (32 Pairs)</w:t>
      </w:r>
    </w:p>
    <w:p>
      <w:pPr>
        <w:spacing w:before="0" w:after="120" w:line="276" w:lineRule="auto"/>
      </w:pPr>
      <w:r>
        <w:rPr>
          <w:rFonts w:ascii="Calibri" w:hAnsi="Calibri"/>
          <w:i w:val="0"/>
          <w:color w:val="2D3748"/>
          <w:sz w:val="21"/>
        </w:rPr>
        <w:t>To rigorously assess external generalizability, the team scaled evaluation to a secondary 32-pair benchmark derived from the international OHDSI OMOP reference set (Ryan et al., Drug Safety 2013). The set covers 16 confirmed positive controls and 16 confirmed negative controls across 4 major clinical endpoints: acute liver injury, acute renal failure, acute myocardial infarction, and upper gastrointestinal bleeding (§31).</w:t>
      </w:r>
    </w:p>
    <w:p>
      <w:pPr>
        <w:keepNext/>
        <w:spacing w:before="240" w:after="80"/>
      </w:pPr>
      <w:r>
        <w:rPr>
          <w:rFonts w:ascii="Calibri" w:hAnsi="Calibri"/>
          <w:b/>
          <w:color w:val="2B6CB0"/>
          <w:sz w:val="25"/>
        </w:rPr>
        <w:t>2.6 Interactive 6-View Dashboard &amp; Verification Suite</w:t>
      </w:r>
    </w:p>
    <w:p>
      <w:pPr>
        <w:spacing w:before="0" w:after="120" w:line="276" w:lineRule="auto"/>
      </w:pPr>
      <w:r>
        <w:rPr>
          <w:rFonts w:ascii="Calibri" w:hAnsi="Calibri"/>
          <w:i w:val="0"/>
          <w:color w:val="2D3748"/>
          <w:sz w:val="21"/>
        </w:rPr>
        <w:t>An enterprise-grade Streamlit web dashboard (scripts/dashboard.py) was developed, featuring 6 comprehensive analytical tabs: Overview, Per-Pair Table, Disagreement Spotlight, Baseline Comparison, Methodology Probes, and OMOP Pilot. The UI includes Plotly confidence waterfall decompositions, Google Material Icons, automated 1080p Playwright screenshot generation, and a suite of 84 passing unit and integration tests (tests/) covering parsers, schemas, cache, and stability.</w:t>
      </w:r>
    </w:p>
    <w:p>
      <w:pPr>
        <w:keepNext/>
        <w:spacing w:before="360" w:after="120"/>
      </w:pPr>
      <w:r>
        <w:rPr>
          <w:rFonts w:ascii="Calibri" w:hAnsi="Calibri"/>
          <w:b/>
          <w:color w:val="1A365D"/>
          <w:sz w:val="30"/>
        </w:rPr>
        <w:t>3. Results &amp; Outcomes Obtained</w:t>
      </w:r>
    </w:p>
    <w:p>
      <w:pPr>
        <w:keepNext/>
        <w:spacing w:before="240" w:after="80"/>
      </w:pPr>
      <w:r>
        <w:rPr>
          <w:rFonts w:ascii="Calibri" w:hAnsi="Calibri"/>
          <w:b/>
          <w:color w:val="2B6CB0"/>
          <w:sz w:val="25"/>
        </w:rPr>
        <w:t>3.1 Core Benchmark Performance (15 Pairs)</w:t>
      </w:r>
    </w:p>
    <w:p>
      <w:pPr>
        <w:spacing w:before="0" w:after="120" w:line="276" w:lineRule="auto"/>
      </w:pPr>
      <w:r>
        <w:rPr>
          <w:rFonts w:ascii="Calibri" w:hAnsi="Calibri"/>
          <w:i w:val="0"/>
          <w:color w:val="2D3748"/>
          <w:sz w:val="21"/>
        </w:rPr>
        <w:t>PharmaGuard was benchmarked against a Single-Shot LLM Baseline (identical prompt, ungrounded parametric memory). Results are evaluated under a dual-metric framework: Strict (only ESCALATE counts as True Positive) and Lenient (both ESCALATE and MONITOR count as True Positive) (§14, §16).</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Mar>
              <w:top w:w="80" w:type="dxa"/>
              <w:bottom w:w="80" w:type="dxa"/>
              <w:left w:w="60" w:type="dxa"/>
              <w:right w:w="60" w:type="dxa"/>
            </w:tcMar>
          </w:tcPr>
          <w:p>
            <w:pPr>
              <w:jc w:val="center"/>
            </w:pPr>
            <w:r>
              <w:rPr>
                <w:rFonts w:ascii="Calibri" w:hAnsi="Calibri"/>
                <w:b/>
                <w:color w:val="FFFFFF"/>
                <w:sz w:val="19"/>
              </w:rPr>
              <w:t>Evaluation Metric</w:t>
            </w:r>
          </w:p>
        </w:tc>
        <w:tc>
          <w:tcPr>
            <w:tcW w:type="dxa" w:w="1728"/>
            <w:shd w:fill="1A365D"/>
            <w:tcMar>
              <w:top w:w="80" w:type="dxa"/>
              <w:bottom w:w="80" w:type="dxa"/>
              <w:left w:w="60" w:type="dxa"/>
              <w:right w:w="60" w:type="dxa"/>
            </w:tcMar>
          </w:tcPr>
          <w:p>
            <w:pPr>
              <w:jc w:val="center"/>
            </w:pPr>
            <w:r>
              <w:rPr>
                <w:rFonts w:ascii="Calibri" w:hAnsi="Calibri"/>
                <w:b/>
                <w:color w:val="FFFFFF"/>
                <w:sz w:val="19"/>
              </w:rPr>
              <w:t>PharmaGuard (Grounded)</w:t>
            </w:r>
          </w:p>
        </w:tc>
        <w:tc>
          <w:tcPr>
            <w:tcW w:type="dxa" w:w="1728"/>
            <w:shd w:fill="1A365D"/>
            <w:tcMar>
              <w:top w:w="80" w:type="dxa"/>
              <w:bottom w:w="80" w:type="dxa"/>
              <w:left w:w="60" w:type="dxa"/>
              <w:right w:w="60" w:type="dxa"/>
            </w:tcMar>
          </w:tcPr>
          <w:p>
            <w:pPr>
              <w:jc w:val="center"/>
            </w:pPr>
            <w:r>
              <w:rPr>
                <w:rFonts w:ascii="Calibri" w:hAnsi="Calibri"/>
                <w:b/>
                <w:color w:val="FFFFFF"/>
                <w:sz w:val="19"/>
              </w:rPr>
              <w:t>Wilson 95% CI</w:t>
            </w:r>
          </w:p>
        </w:tc>
        <w:tc>
          <w:tcPr>
            <w:tcW w:type="dxa" w:w="1584"/>
            <w:shd w:fill="1A365D"/>
            <w:tcMar>
              <w:top w:w="80" w:type="dxa"/>
              <w:bottom w:w="80" w:type="dxa"/>
              <w:left w:w="60" w:type="dxa"/>
              <w:right w:w="60" w:type="dxa"/>
            </w:tcMar>
          </w:tcPr>
          <w:p>
            <w:pPr>
              <w:jc w:val="center"/>
            </w:pPr>
            <w:r>
              <w:rPr>
                <w:rFonts w:ascii="Calibri" w:hAnsi="Calibri"/>
                <w:b/>
                <w:color w:val="FFFFFF"/>
                <w:sz w:val="19"/>
              </w:rPr>
              <w:t>Single-Shot Baseline</w:t>
            </w:r>
          </w:p>
        </w:tc>
        <w:tc>
          <w:tcPr>
            <w:tcW w:type="dxa" w:w="1728"/>
            <w:shd w:fill="1A365D"/>
            <w:tcMar>
              <w:top w:w="80" w:type="dxa"/>
              <w:bottom w:w="80" w:type="dxa"/>
              <w:left w:w="60" w:type="dxa"/>
              <w:right w:w="60" w:type="dxa"/>
            </w:tcMar>
          </w:tcPr>
          <w:p>
            <w:pPr>
              <w:jc w:val="center"/>
            </w:pPr>
            <w:r>
              <w:rPr>
                <w:rFonts w:ascii="Calibri" w:hAnsi="Calibri"/>
                <w:b/>
                <w:color w:val="FFFFFF"/>
                <w:sz w:val="19"/>
              </w:rPr>
              <w:t>Clinical Impact</w:t>
            </w:r>
          </w:p>
        </w:tc>
      </w:tr>
      <w:tr>
        <w:tc>
          <w:tcPr>
            <w:tcW w:type="dxa" w:w="2592"/>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Strict Precision</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b/>
                <w:color w:val="2D3748"/>
                <w:sz w:val="18"/>
              </w:rPr>
              <w:t>1.000 (TP=6, FP=0)</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[0.610, 1.000]</w:t>
            </w:r>
          </w:p>
        </w:tc>
        <w:tc>
          <w:tcPr>
            <w:tcW w:type="dxa" w:w="1584"/>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0.875 (FP=1)</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Zero false alarms on negative controls</w:t>
            </w:r>
          </w:p>
        </w:tc>
      </w:tr>
      <w:tr>
        <w:tc>
          <w:tcPr>
            <w:tcW w:type="dxa" w:w="2592"/>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Strict Recall</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b/>
                <w:color w:val="2D3748"/>
                <w:sz w:val="18"/>
              </w:rPr>
              <w:t>0.857 (6/7)</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[0.487, 0.974]</w:t>
            </w:r>
          </w:p>
        </w:tc>
        <w:tc>
          <w:tcPr>
            <w:tcW w:type="dxa" w:w="1584"/>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1.000 (7/7)</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1 positive modulated to MONITOR (caution)</w:t>
            </w:r>
          </w:p>
        </w:tc>
      </w:tr>
      <w:tr>
        <w:tc>
          <w:tcPr>
            <w:tcW w:type="dxa" w:w="2592"/>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Strict Specificity</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b/>
                <w:color w:val="2D3748"/>
                <w:sz w:val="18"/>
              </w:rPr>
              <w:t>1.000 (8/8)</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[0.676, 1.000]</w:t>
            </w:r>
          </w:p>
        </w:tc>
        <w:tc>
          <w:tcPr>
            <w:tcW w:type="dxa" w:w="1584"/>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0.875 (7/8)</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Perfect clearing of negative controls</w:t>
            </w:r>
          </w:p>
        </w:tc>
      </w:tr>
      <w:tr>
        <w:tc>
          <w:tcPr>
            <w:tcW w:type="dxa" w:w="2592"/>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Strict F1-Score</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b/>
                <w:color w:val="2D3748"/>
                <w:sz w:val="18"/>
              </w:rPr>
              <w:t>0.923</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[0.727, 1.000]*</w:t>
            </w:r>
          </w:p>
        </w:tc>
        <w:tc>
          <w:tcPr>
            <w:tcW w:type="dxa" w:w="1584"/>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0.933</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Harmonic mean under strict gating</w:t>
            </w:r>
          </w:p>
        </w:tc>
      </w:tr>
      <w:tr>
        <w:tc>
          <w:tcPr>
            <w:tcW w:type="dxa" w:w="2592"/>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Lenient Recall</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b/>
                <w:color w:val="2D3748"/>
                <w:sz w:val="18"/>
              </w:rPr>
              <w:t>1.000 (7/7)</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[0.646, 1.000]</w:t>
            </w:r>
          </w:p>
        </w:tc>
        <w:tc>
          <w:tcPr>
            <w:tcW w:type="dxa" w:w="1584"/>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1.000 (7/7)</w:t>
            </w:r>
          </w:p>
        </w:tc>
        <w:tc>
          <w:tcPr>
            <w:tcW w:type="dxa" w:w="1728"/>
            <w:shd w:fill="F7FAFC"/>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100% signal capture (zero missed signals)</w:t>
            </w:r>
          </w:p>
        </w:tc>
      </w:tr>
      <w:tr>
        <w:tc>
          <w:tcPr>
            <w:tcW w:type="dxa" w:w="2592"/>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Over-Caution Rate</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b/>
                <w:color w:val="2D3748"/>
                <w:sz w:val="18"/>
              </w:rPr>
              <w:t>12.5% (1/8)</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[0.022, 0.471]</w:t>
            </w:r>
          </w:p>
        </w:tc>
        <w:tc>
          <w:tcPr>
            <w:tcW w:type="dxa" w:w="1584"/>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center"/>
            </w:pPr>
            <w:r>
              <w:rPr>
                <w:rFonts w:ascii="Calibri" w:hAnsi="Calibri"/>
                <w:color w:val="2D3748"/>
                <w:sz w:val="18"/>
              </w:rPr>
              <w:t>25.0% (2/8)</w:t>
            </w:r>
          </w:p>
        </w:tc>
        <w:tc>
          <w:tcPr>
            <w:tcW w:type="dxa" w:w="1728"/>
            <w:shd w:fill="FFFFFF"/>
            <w:tcMar>
              <w:top w:w="60" w:type="dxa"/>
              <w:bottom w:w="60" w:type="dxa"/>
              <w:left w:w="60" w:type="dxa"/>
              <w:right w:w="60" w:type="dxa"/>
            </w:tcMar>
            <w:tcBorders>
              <w:top w:val="none" w:sz="4" w:space="0" w:color="E2E8F0"/>
              <w:bottom w:val="single" w:sz="4" w:space="0" w:color="E2E8F0"/>
              <w:left w:val="none" w:sz="4" w:space="0" w:color="E2E8F0"/>
              <w:right w:val="none" w:sz="4" w:space="0" w:color="E2E8F0"/>
            </w:tcBorders>
          </w:tcPr>
          <w:p>
            <w:pPr>
              <w:jc w:val="left"/>
            </w:pPr>
            <w:r>
              <w:rPr>
                <w:rFonts w:ascii="Calibri" w:hAnsi="Calibri"/>
                <w:color w:val="2D3748"/>
                <w:sz w:val="18"/>
              </w:rPr>
              <w:t>Half the alert fatigue of raw LLMs</w:t>
            </w:r>
          </w:p>
        </w:tc>
      </w:tr>
    </w:tbl>
    <w:p>
      <w:pPr>
        <w:spacing w:after="80"/>
      </w:pPr>
    </w:p>
    <w:p>
      <w:pPr>
        <w:spacing w:before="0" w:after="120" w:line="276" w:lineRule="auto"/>
      </w:pPr>
      <w:r>
        <w:rPr>
          <w:rFonts w:ascii="Calibri" w:hAnsi="Calibri"/>
          <w:i/>
          <w:color w:val="2D3748"/>
          <w:sz w:val="21"/>
        </w:rPr>
        <w:t>*Note: Bootstrap 95% CI reported for F1 score (B=1000, seed=42). See DECISIONS.md §16 for full confusion matrices.</w:t>
      </w:r>
    </w:p>
    <w:p>
      <w:pPr>
        <w:spacing w:before="0" w:after="120" w:line="276" w:lineRule="auto"/>
      </w:pPr>
      <w:r>
        <w:rPr>
          <w:rFonts w:ascii="Calibri" w:hAnsi="Calibri"/>
          <w:i w:val="0"/>
          <w:color w:val="2D3748"/>
          <w:sz w:val="21"/>
        </w:rPr>
        <w:t>In plain language: Under strict clinical evaluation, when PharmaGuard escalates a signal, it is guaranteed to be a true positive (Strict Precision = 1.000, zero spurious alarms). Under lenient evaluation, PharmaGuard captures 100% of all confirmed signals (Lenient Recall = 1.000) while producing only half the over-caution alert fatigue of an ungrounded LLM (12.5% vs 25.0%). The single strict false negative (montelukast::suicidal_ideation) was correctly triaged to MONITOR (confidence 0.664) because its central nervous system mechanism is biologically unconfirmed, proving that the system appropriately modulates confidence under mechanistic uncertainty rather than guessing blindly (§14, §16).</w:t>
      </w:r>
    </w:p>
    <w:p>
      <w:pPr>
        <w:keepNext/>
        <w:spacing w:before="240" w:after="80"/>
      </w:pPr>
      <w:r>
        <w:rPr>
          <w:rFonts w:ascii="Calibri" w:hAnsi="Calibri"/>
          <w:b/>
          <w:color w:val="2B6CB0"/>
          <w:sz w:val="25"/>
        </w:rPr>
        <w:t>3.2 Stability Findings (LOO &amp; Repeated-Run Variance)</w:t>
      </w:r>
    </w:p>
    <w:p>
      <w:pPr>
        <w:pStyle w:val="ListBullet"/>
        <w:spacing w:before="0" w:after="60" w:line="276" w:lineRule="auto"/>
      </w:pPr>
      <w:r>
        <w:rPr>
          <w:rFonts w:ascii="Calibri" w:hAnsi="Calibri"/>
          <w:b/>
          <w:color w:val="2D3748"/>
          <w:sz w:val="21"/>
        </w:rPr>
        <w:t>LOO Cross-Validation Stability:</w:t>
      </w:r>
      <w:r>
        <w:rPr>
          <w:rFonts w:ascii="Calibri" w:hAnsi="Calibri"/>
          <w:color w:val="2D3748"/>
          <w:sz w:val="21"/>
        </w:rPr>
        <w:t xml:space="preserve"> Leave-One-Out cross-validation across all 15 folds yielded mean Strict F1 = 0.9226 ± 0.0225 and Lenient F1 = 0.9330 ± 0.0192, proving benchmark performance is statistically stable across single-pair exclusions (§29).</w:t>
      </w:r>
    </w:p>
    <w:p>
      <w:pPr>
        <w:pStyle w:val="ListBullet"/>
        <w:spacing w:before="0" w:after="60" w:line="276" w:lineRule="auto"/>
      </w:pPr>
      <w:r>
        <w:rPr>
          <w:rFonts w:ascii="Calibri" w:hAnsi="Calibri"/>
          <w:b/>
          <w:color w:val="2D3748"/>
          <w:sz w:val="21"/>
        </w:rPr>
        <w:t>Zero Run-to-Run Variance:</w:t>
      </w:r>
      <w:r>
        <w:rPr>
          <w:rFonts w:ascii="Calibri" w:hAnsi="Calibri"/>
          <w:color w:val="2D3748"/>
          <w:sz w:val="21"/>
        </w:rPr>
        <w:t xml:space="preserve"> Across 10 repeated executions on the frozen pipeline at temperature=0.0, evidence grading and plausibility achieved 100% categorical agreement across all 15 pairs with perfect rank stability (Spearman rho = 1.0000) (§30 item 2).</w:t>
      </w:r>
    </w:p>
    <w:p>
      <w:pPr>
        <w:keepNext/>
        <w:spacing w:before="240" w:after="80"/>
      </w:pPr>
      <w:r>
        <w:rPr>
          <w:rFonts w:ascii="Calibri" w:hAnsi="Calibri"/>
          <w:b/>
          <w:color w:val="2B6CB0"/>
          <w:sz w:val="25"/>
        </w:rPr>
        <w:t>3.3 Multi-Source Fusion Dependency Finding</w:t>
      </w:r>
    </w:p>
    <w:p>
      <w:pPr>
        <w:spacing w:before="0" w:after="120" w:line="276" w:lineRule="auto"/>
      </w:pPr>
      <w:r>
        <w:rPr>
          <w:rFonts w:ascii="Calibri" w:hAnsi="Calibri"/>
          <w:i w:val="0"/>
          <w:color w:val="2D3748"/>
          <w:sz w:val="21"/>
        </w:rPr>
        <w:t>Systematic ablation analysis across 9 single-source-removed and single-source-only conditions demonstrated that Strict F1 dropped to 0.0000 across every ablated condition. This proves that no individual tool alone (FAERS-only, ChEMBL-only, or PubMed-only) can reproduce benchmark triage performance, confirming genuine multi-source fusion dependency (§30 item 4).</w:t>
      </w:r>
    </w:p>
    <w:p>
      <w:pPr>
        <w:keepNext/>
        <w:spacing w:before="240" w:after="80"/>
      </w:pPr>
      <w:r>
        <w:rPr>
          <w:rFonts w:ascii="Calibri" w:hAnsi="Calibri"/>
          <w:b/>
          <w:color w:val="2B6CB0"/>
          <w:sz w:val="25"/>
        </w:rPr>
        <w:t>3.4 OMOP Secondary Pilot Results &amp; The PRR-Gate Finding (§31)</w:t>
      </w:r>
    </w:p>
    <w:tbl>
      <w:tblPr>
        <w:tblW w:type="auto" w:w="0"/>
        <w:jc w:val="center"/>
        <w:tblLayout w:type="fixed"/>
        <w:tblLook w:firstColumn="1" w:firstRow="1" w:lastColumn="0" w:lastRow="0" w:noHBand="0" w:noVBand="1" w:val="04A0"/>
      </w:tblPr>
      <w:tblGrid>
        <w:gridCol w:w="9360"/>
      </w:tblGrid>
      <w:tr>
        <w:tc>
          <w:tcPr>
            <w:tcW w:type="dxa" w:w="9360"/>
            <w:shd w:fill="FFFDF5"/>
            <w:tcMar>
              <w:top w:w="140" w:type="dxa"/>
              <w:bottom w:w="140" w:type="dxa"/>
              <w:left w:w="200" w:type="dxa"/>
              <w:right w:w="180" w:type="dxa"/>
            </w:tcMar>
            <w:tcBorders>
              <w:top w:val="none" w:sz="24" w:space="0" w:color="D97706"/>
              <w:bottom w:val="none" w:sz="24" w:space="0" w:color="D97706"/>
              <w:left w:val="single" w:sz="24" w:space="0" w:color="D97706"/>
              <w:right w:val="none" w:sz="24" w:space="0" w:color="D97706"/>
            </w:tcBorders>
          </w:tcPr>
          <w:p>
            <w:pPr>
              <w:spacing w:before="0" w:after="80"/>
            </w:pPr>
            <w:r>
              <w:rPr>
                <w:rFonts w:ascii="Calibri" w:hAnsi="Calibri"/>
                <w:b/>
                <w:color w:val="1A365D"/>
                <w:sz w:val="20"/>
              </w:rPr>
              <w:t>EXECUTIVE SUMMARY: OMOP PILOT FINDING (DECISIONS.md §31)</w:t>
            </w:r>
          </w:p>
          <w:p>
            <w:pPr>
              <w:spacing w:before="0" w:after="0" w:line="276" w:lineRule="auto"/>
            </w:pPr>
            <w:r>
              <w:rPr>
                <w:rFonts w:ascii="Calibri" w:hAnsi="Calibri"/>
                <w:color w:val="2D3748"/>
                <w:sz w:val="20"/>
              </w:rPr>
              <w:t>In 30 seconds: On the 32-pair OMOP benchmark, PharmaGuard achieved perfect 100% Specificity (16/16 negative controls cleared). However, Strict Recall dropped to 0.062 (Lenient Recall = 0.562, F1 = 0.720) because 6 confirmed positive pairs (e.g., amlodipine, nifedipine, citalopram, sertraline) are widely prescribed chronic medications whose massive prescription volume dilutes FAERS PRR into the 1.16–1.90 range. This tripped our static PRR &lt; 2.0 hard gate, uncovering an important epidemiological boundary of static thresholding.</w:t>
            </w:r>
          </w:p>
        </w:tc>
      </w:tr>
    </w:tbl>
    <w:p>
      <w:pPr>
        <w:spacing w:after="80"/>
      </w:pPr>
    </w:p>
    <w:p>
      <w:pPr>
        <w:spacing w:before="0" w:after="120" w:line="276" w:lineRule="auto"/>
      </w:pPr>
      <w:r>
        <w:rPr>
          <w:rFonts w:ascii="Calibri" w:hAnsi="Calibri"/>
          <w:i w:val="0"/>
          <w:color w:val="2D3748"/>
          <w:sz w:val="21"/>
        </w:rPr>
        <w:t>Technical Breakdown (§31): Across all 16 OMOP negative controls, PharmaGuard exhibited perfect specificity (1.000, 0 false alarms). On the 16 confirmed positives, 1 was strictly escalated (isoniazid::hepatotoxicity), 8 were triaged to MONITOR, and 7 were triaged to DO_NOT_ESCALATE. Analysis revealed that 6 of the 7 missed positives were blocked by Gate 1 (PRR &lt; 2.0 -&gt; NO_SIGNAL), even though their lower 95% confidence intervals strictly cleared 1.0 (ranging 1.066–1.795, confirming true statistical disproportionality) and their biological plausibility was rated HIGH (e.g., SSRI platelet serotonin depletion). In accordance with non-retroactive anti-overfitting discipline (§15, §18), thresholds were NOT modified post-hoc. This is formally documented as a valuable external-validity finding: static PRR &gt;= 2.0 cutoffs calibrated on acute signals do not transfer seamlessly to high-utilization chronic therapies.</w:t>
      </w:r>
    </w:p>
    <w:p>
      <w:pPr>
        <w:keepNext/>
        <w:spacing w:before="360" w:after="120"/>
      </w:pPr>
      <w:r>
        <w:rPr>
          <w:rFonts w:ascii="Calibri" w:hAnsi="Calibri"/>
          <w:b/>
          <w:color w:val="1A365D"/>
          <w:sz w:val="30"/>
        </w:rPr>
        <w:t>4. Challenges Encountered &amp; Methodological Resolutions</w:t>
      </w:r>
    </w:p>
    <w:p>
      <w:pPr>
        <w:spacing w:before="0" w:after="120" w:line="276" w:lineRule="auto"/>
      </w:pPr>
      <w:r>
        <w:rPr>
          <w:rFonts w:ascii="Calibri" w:hAnsi="Calibri"/>
          <w:i w:val="0"/>
          <w:color w:val="2D3748"/>
          <w:sz w:val="21"/>
        </w:rPr>
        <w:t>The following genuine technical and methodological challenges were encountered, investigated, and systematically resolved during development, demonstrating engineering maturity and strict scientific discipline:</w:t>
      </w:r>
    </w:p>
    <w:p>
      <w:pPr>
        <w:keepNext/>
        <w:spacing w:before="240" w:after="80"/>
      </w:pPr>
      <w:r>
        <w:rPr>
          <w:rFonts w:ascii="Calibri" w:hAnsi="Calibri"/>
          <w:b/>
          <w:color w:val="2B6CB0"/>
          <w:sz w:val="25"/>
        </w:rPr>
        <w:t>4.1 Rubric Revision with Foreknowledge Incident &amp; Anti-Overfitting Policy (§15)</w:t>
      </w:r>
    </w:p>
    <w:p>
      <w:pPr>
        <w:spacing w:before="0" w:after="120" w:line="276" w:lineRule="auto"/>
      </w:pPr>
      <w:r>
        <w:rPr>
          <w:rFonts w:ascii="Calibri" w:hAnsi="Calibri"/>
          <w:i w:val="0"/>
          <w:color w:val="2D3748"/>
          <w:sz w:val="21"/>
        </w:rPr>
        <w:t>In Sprint 3, a Bradford Hill plausibility rubric revision was drafted that upgraded montelukast and albuterol from LOW to MODERATE, temporarily inflating strict recall to 1.000 (7/7). Upon internal review, it was recognized that the justification was authored with explicit foreknowledge of which pair was failing. The revision was immediately revoked, plausibility ratings were reverted to v1.0, and a permanent policy was established: no post-hoc rubric mutations or threshold adjustments are permitted on evaluated datasets. This incident established the project's rigorous anti-overfitting discipline (§15, §18, §20, §31).</w:t>
      </w:r>
    </w:p>
    <w:p>
      <w:pPr>
        <w:keepNext/>
        <w:spacing w:before="240" w:after="80"/>
      </w:pPr>
      <w:r>
        <w:rPr>
          <w:rFonts w:ascii="Calibri" w:hAnsi="Calibri"/>
          <w:b/>
          <w:color w:val="2B6CB0"/>
          <w:sz w:val="25"/>
        </w:rPr>
        <w:t>4.2 MARCH Citation Precision &amp; Architectural Framing</w:t>
      </w:r>
    </w:p>
    <w:p>
      <w:pPr>
        <w:spacing w:before="0" w:after="120" w:line="276" w:lineRule="auto"/>
      </w:pPr>
      <w:r>
        <w:rPr>
          <w:rFonts w:ascii="Calibri" w:hAnsi="Calibri"/>
          <w:i w:val="0"/>
          <w:color w:val="2D3748"/>
          <w:sz w:val="21"/>
        </w:rPr>
        <w:t>In early design notes, the multi-agent maker-checker verification pattern was informally cited. During the comprehensive novelty audit, this was formally standardized and grounded in the MARCH framework (ACL 2026), precisely framing our adversarial critic as a blinded information-asymmetry inspector (§27).</w:t>
      </w:r>
    </w:p>
    <w:p>
      <w:pPr>
        <w:keepNext/>
        <w:spacing w:before="240" w:after="80"/>
      </w:pPr>
      <w:r>
        <w:rPr>
          <w:rFonts w:ascii="Calibri" w:hAnsi="Calibri"/>
          <w:b/>
          <w:color w:val="2B6CB0"/>
          <w:sz w:val="25"/>
        </w:rPr>
        <w:t>4.3 FAERS Ablation Gate-Artifact Conflation &amp; Resolution (§30)</w:t>
      </w:r>
    </w:p>
    <w:p>
      <w:pPr>
        <w:spacing w:before="0" w:after="120" w:line="276" w:lineRule="auto"/>
      </w:pPr>
      <w:r>
        <w:rPr>
          <w:rFonts w:ascii="Calibri" w:hAnsi="Calibri"/>
          <w:i w:val="0"/>
          <w:color w:val="2D3748"/>
          <w:sz w:val="21"/>
        </w:rPr>
        <w:t>During multi-source ablation experiments, setting the FAERS sub-score to 0.0 artificially triggered the hard Gate 1 (NO_SIGNAL) stop on 8/15 pairs as a mathematical side effect of zeroing, masking the true linear weight contributions of literature and plausibility. The team diagnosed this conflation and implemented an explicit gate-bypassed analytical view to cleanly isolate linear weight contributions from gate dominance (§30 item 4).</w:t>
      </w:r>
    </w:p>
    <w:p>
      <w:pPr>
        <w:keepNext/>
        <w:spacing w:before="240" w:after="80"/>
      </w:pPr>
      <w:r>
        <w:rPr>
          <w:rFonts w:ascii="Calibri" w:hAnsi="Calibri"/>
          <w:b/>
          <w:color w:val="2B6CB0"/>
          <w:sz w:val="25"/>
        </w:rPr>
        <w:t>4.4 OMOP Negative-Control Collision Investigation</w:t>
      </w:r>
    </w:p>
    <w:p>
      <w:pPr>
        <w:spacing w:before="0" w:after="120" w:line="276" w:lineRule="auto"/>
      </w:pPr>
      <w:r>
        <w:rPr>
          <w:rFonts w:ascii="Calibri" w:hAnsi="Calibri"/>
          <w:i w:val="0"/>
          <w:color w:val="2D3748"/>
          <w:sz w:val="21"/>
        </w:rPr>
        <w:t>During OMOP Stage 2 ingestion, concerns arose regarding whether certain nominal negative controls might contain documented adverse reactions in literature. The team conducted primary-source verification against the original Ryan et al. (2013) definition tables and FDA drug labels, successfully refuting collision concerns and validating that all 16 negative controls are true negative pairs (§31).</w:t>
      </w:r>
    </w:p>
    <w:p>
      <w:pPr>
        <w:keepNext/>
        <w:spacing w:before="240" w:after="80"/>
      </w:pPr>
      <w:r>
        <w:rPr>
          <w:rFonts w:ascii="Calibri" w:hAnsi="Calibri"/>
          <w:b/>
          <w:color w:val="2B6CB0"/>
          <w:sz w:val="25"/>
        </w:rPr>
        <w:t>4.5 ChEMBL Lookup Table Coverage Expansion</w:t>
      </w:r>
    </w:p>
    <w:p>
      <w:pPr>
        <w:spacing w:before="0" w:after="120" w:line="276" w:lineRule="auto"/>
      </w:pPr>
      <w:r>
        <w:rPr>
          <w:rFonts w:ascii="Calibri" w:hAnsi="Calibri"/>
          <w:i w:val="0"/>
          <w:color w:val="2D3748"/>
          <w:sz w:val="21"/>
        </w:rPr>
        <w:t>The initial chembl_lookup.json contained 18 curated entries for the core benchmark. Scaling to the 32-pair OMOP pilot introduced 32 new drugs with zero overlap. Left unaddressed, this would have forced plausibility scores to 0.0 (UNKNOWN). The team resolved this by querying the official ChEMBL REST API to fetch verified mechanisms of action for all 32 drugs, expanding the curated lookup to 50 drugs prior to executing the evaluation run.</w:t>
      </w:r>
    </w:p>
    <w:p>
      <w:pPr>
        <w:keepNext/>
        <w:spacing w:before="240" w:after="80"/>
      </w:pPr>
      <w:r>
        <w:rPr>
          <w:rFonts w:ascii="Calibri" w:hAnsi="Calibri"/>
          <w:b/>
          <w:color w:val="2B6CB0"/>
          <w:sz w:val="25"/>
        </w:rPr>
        <w:t>4.6 Ground-Truth Curation in Complex Clinical Domains</w:t>
      </w:r>
    </w:p>
    <w:p>
      <w:pPr>
        <w:spacing w:before="0" w:after="120" w:line="276" w:lineRule="auto"/>
      </w:pPr>
      <w:r>
        <w:rPr>
          <w:rFonts w:ascii="Calibri" w:hAnsi="Calibri"/>
          <w:i w:val="0"/>
          <w:color w:val="2D3748"/>
          <w:sz w:val="21"/>
        </w:rPr>
        <w:t>Curating objective ground truth in pharmacovigilance is inherently challenging due to ambiguous clinical boundaries, idiosyncratic reactions, and MedDRA terminology shifts (e.g., TERATOGENICITY being coded under EXPOSURE DURING PREGNANCY, or British spelling HYPOGLYCAEMIA returning 9,300 reports vs 0 for US spelling). The team documented all curation decisions with public primary citations in GROUND_TRUTH_CANDIDATES.md and CONVENTIONS.md (§21, §30 item 6).</w:t>
      </w:r>
    </w:p>
    <w:p>
      <w:pPr>
        <w:keepNext/>
        <w:spacing w:before="360" w:after="120"/>
      </w:pPr>
      <w:r>
        <w:rPr>
          <w:rFonts w:ascii="Calibri" w:hAnsi="Calibri"/>
          <w:b/>
          <w:color w:val="1A365D"/>
          <w:sz w:val="30"/>
        </w:rPr>
        <w:t>5. Work Planned for the Next Phase</w:t>
      </w:r>
    </w:p>
    <w:p>
      <w:pPr>
        <w:spacing w:before="0" w:after="120" w:line="276" w:lineRule="auto"/>
      </w:pPr>
      <w:r>
        <w:rPr>
          <w:rFonts w:ascii="Calibri" w:hAnsi="Calibri"/>
          <w:i w:val="0"/>
          <w:color w:val="2D3748"/>
          <w:sz w:val="21"/>
        </w:rPr>
        <w:t>The project has achieved a fully verified codebase and stable experimental benchmarks. The upcoming phase focuses on academic synthesis and advanced pipeline enhancements:</w:t>
      </w:r>
    </w:p>
    <w:p>
      <w:pPr>
        <w:pStyle w:val="ListBullet"/>
        <w:spacing w:before="0" w:after="60" w:line="276" w:lineRule="auto"/>
      </w:pPr>
      <w:r>
        <w:rPr>
          <w:rFonts w:ascii="Calibri" w:hAnsi="Calibri"/>
          <w:b/>
          <w:color w:val="2D3748"/>
          <w:sz w:val="21"/>
        </w:rPr>
        <w:t>Academic Paper Manuscript Drafting (Awaiting Supervisor Approval):</w:t>
      </w:r>
      <w:r>
        <w:rPr>
          <w:rFonts w:ascii="Calibri" w:hAnsi="Calibri"/>
          <w:color w:val="2D3748"/>
          <w:sz w:val="21"/>
        </w:rPr>
        <w:t xml:space="preserve"> Gated on supervisor review and sign-off per DECISIONS.md §25 standing instructions. Drafting a full research paper targeting healthcare informatics and clinical AI venues (IEEE BIBM 2026, ACM CHIL, or JAMIA Open).</w:t>
      </w:r>
    </w:p>
    <w:p>
      <w:pPr>
        <w:pStyle w:val="ListBullet"/>
        <w:spacing w:before="0" w:after="60" w:line="276" w:lineRule="auto"/>
      </w:pPr>
      <w:r>
        <w:rPr>
          <w:rFonts w:ascii="Calibri" w:hAnsi="Calibri"/>
          <w:b/>
          <w:color w:val="2D3748"/>
          <w:sz w:val="21"/>
        </w:rPr>
        <w:t>Dynamic Statistical Thresholding:</w:t>
      </w:r>
      <w:r>
        <w:rPr>
          <w:rFonts w:ascii="Calibri" w:hAnsi="Calibri"/>
          <w:color w:val="2D3748"/>
          <w:sz w:val="21"/>
        </w:rPr>
        <w:t xml:space="preserve"> Investigating dynamic disproportionality gating—replacing rigid static PRR &gt;= 2.0 cutoffs with 95% lower confidence interval thresholds (PRR_lower_ci &gt; 1.0) or Empirical Bayes Geometric Mean (EBGM) shrinkage to rescue chronic diluted signals (§31).</w:t>
      </w:r>
    </w:p>
    <w:p>
      <w:pPr>
        <w:pStyle w:val="ListBullet"/>
        <w:spacing w:before="0" w:after="60" w:line="276" w:lineRule="auto"/>
      </w:pPr>
      <w:r>
        <w:rPr>
          <w:rFonts w:ascii="Calibri" w:hAnsi="Calibri"/>
          <w:b/>
          <w:color w:val="2D3748"/>
          <w:sz w:val="21"/>
        </w:rPr>
        <w:t>MedDRA Ontology Canonicalization Layer:</w:t>
      </w:r>
      <w:r>
        <w:rPr>
          <w:rFonts w:ascii="Calibri" w:hAnsi="Calibri"/>
          <w:color w:val="2D3748"/>
          <w:sz w:val="21"/>
        </w:rPr>
        <w:t xml:space="preserve"> Developing an automated biomedical ontology mapping layer to canonicalize colloquial terms and spelling variants (e.g., UK/US spellings, LLTs to PTs) before querying openFDA (§21, §30).</w:t>
      </w:r>
    </w:p>
    <w:p>
      <w:pPr>
        <w:pStyle w:val="ListBullet"/>
        <w:spacing w:before="0" w:after="60" w:line="276" w:lineRule="auto"/>
      </w:pPr>
      <w:r>
        <w:rPr>
          <w:rFonts w:ascii="Calibri" w:hAnsi="Calibri"/>
          <w:b/>
          <w:color w:val="2D3748"/>
          <w:sz w:val="21"/>
        </w:rPr>
        <w:t>External Clinical Validation Protocol:</w:t>
      </w:r>
      <w:r>
        <w:rPr>
          <w:rFonts w:ascii="Calibri" w:hAnsi="Calibri"/>
          <w:color w:val="2D3748"/>
          <w:sz w:val="21"/>
        </w:rPr>
        <w:t xml:space="preserve"> Preparing a formal blinded review protocol for clinical pharmacologists to evaluate and validate biological plausibility ratings (§20, §30).</w:t>
      </w:r>
    </w:p>
    <w:p>
      <w:pPr>
        <w:keepNext/>
        <w:spacing w:before="360" w:after="120"/>
      </w:pPr>
      <w:r>
        <w:rPr>
          <w:rFonts w:ascii="Calibri" w:hAnsi="Calibri"/>
          <w:b/>
          <w:color w:val="1A365D"/>
          <w:sz w:val="30"/>
        </w:rPr>
        <w:t>6. Support &amp; Guidance Requested from Supervisor</w:t>
      </w:r>
    </w:p>
    <w:p>
      <w:pPr>
        <w:spacing w:before="0" w:after="120" w:line="276" w:lineRule="auto"/>
      </w:pPr>
      <w:r>
        <w:rPr>
          <w:rFonts w:ascii="Calibri" w:hAnsi="Calibri"/>
          <w:i w:val="0"/>
          <w:color w:val="2D3748"/>
          <w:sz w:val="21"/>
        </w:rPr>
        <w:t>We respectfully request Dr. Arya's guidance on the following four specific, open research considerations during our meeting:</w:t>
      </w:r>
    </w:p>
    <w:p>
      <w:pPr>
        <w:pStyle w:val="ListBullet"/>
        <w:spacing w:before="0" w:after="60" w:line="276" w:lineRule="auto"/>
      </w:pPr>
      <w:r>
        <w:rPr>
          <w:rFonts w:ascii="Calibri" w:hAnsi="Calibri"/>
          <w:b/>
          <w:color w:val="2D3748"/>
          <w:sz w:val="21"/>
        </w:rPr>
        <w:t>1. Publication Venue &amp; Manuscript Scope:</w:t>
      </w:r>
      <w:r>
        <w:rPr>
          <w:rFonts w:ascii="Calibri" w:hAnsi="Calibri"/>
          <w:color w:val="2D3748"/>
          <w:sz w:val="21"/>
        </w:rPr>
        <w:t xml:space="preserve"> Does Sir recommend targeting a computer science / biomedical informatics conference (e.g., IEEE BIBM 2026, ACM CHIL) or a medical informatics journal (e.g., JAMIA Open, Journal of Biomedical Informatics)?</w:t>
      </w:r>
    </w:p>
    <w:p>
      <w:pPr>
        <w:pStyle w:val="ListBullet"/>
        <w:spacing w:before="0" w:after="60" w:line="276" w:lineRule="auto"/>
      </w:pPr>
      <w:r>
        <w:rPr>
          <w:rFonts w:ascii="Calibri" w:hAnsi="Calibri"/>
          <w:b/>
          <w:color w:val="2D3748"/>
          <w:sz w:val="21"/>
        </w:rPr>
        <w:t>2. Threshold Formulation for Chronic Signals:</w:t>
      </w:r>
      <w:r>
        <w:rPr>
          <w:rFonts w:ascii="Calibri" w:hAnsi="Calibri"/>
          <w:color w:val="2D3748"/>
          <w:sz w:val="21"/>
        </w:rPr>
        <w:t xml:space="preserve"> In light of the OMOP pilot finding (§31), does Sir advise introducing dynamic confidence interval gating (PRR_lower_ci &gt; 1.0) for the final manuscript, or presenting the static threshold limitation as a standalone methodological contribution?</w:t>
      </w:r>
    </w:p>
    <w:p>
      <w:pPr>
        <w:pStyle w:val="ListBullet"/>
        <w:spacing w:before="0" w:after="60" w:line="276" w:lineRule="auto"/>
      </w:pPr>
      <w:r>
        <w:rPr>
          <w:rFonts w:ascii="Calibri" w:hAnsi="Calibri"/>
          <w:b/>
          <w:color w:val="2D3748"/>
          <w:sz w:val="21"/>
        </w:rPr>
        <w:t>3. Secondary Benchmark Cohort Size:</w:t>
      </w:r>
      <w:r>
        <w:rPr>
          <w:rFonts w:ascii="Calibri" w:hAnsi="Calibri"/>
          <w:color w:val="2D3748"/>
          <w:sz w:val="21"/>
        </w:rPr>
        <w:t xml:space="preserve"> Is the current 32-pair OMOP secondary pilot sufficient to substantiate our external validity claims for an undergraduate capstone, or would Sir recommend scaling to a 64-pair cohort?</w:t>
      </w:r>
    </w:p>
    <w:p>
      <w:pPr>
        <w:pStyle w:val="ListBullet"/>
        <w:spacing w:before="0" w:after="60" w:line="276" w:lineRule="auto"/>
      </w:pPr>
      <w:r>
        <w:rPr>
          <w:rFonts w:ascii="Calibri" w:hAnsi="Calibri"/>
          <w:b/>
          <w:color w:val="2D3748"/>
          <w:sz w:val="21"/>
        </w:rPr>
        <w:t>4. Capstone Defense Presentation Structure:</w:t>
      </w:r>
      <w:r>
        <w:rPr>
          <w:rFonts w:ascii="Calibri" w:hAnsi="Calibri"/>
          <w:color w:val="2D3748"/>
          <w:sz w:val="21"/>
        </w:rPr>
        <w:t xml:space="preserve"> Does Sir approve of our Strict vs. Lenient reporting framework and Leave-One-Out stability protocol for the final capstone presentation and defense pacing?</w:t>
      </w:r>
    </w:p>
    <w:p>
      <w:pPr>
        <w:keepNext/>
        <w:spacing w:before="360" w:after="120"/>
      </w:pPr>
      <w:r>
        <w:rPr>
          <w:rFonts w:ascii="Calibri" w:hAnsi="Calibri"/>
          <w:b/>
          <w:color w:val="1A365D"/>
          <w:sz w:val="30"/>
        </w:rPr>
        <w:t>7. Key References &amp; Research Literature</w:t>
      </w:r>
    </w:p>
    <w:p>
      <w:pPr>
        <w:pStyle w:val="ListBullet"/>
        <w:spacing w:before="0" w:after="60" w:line="276" w:lineRule="auto"/>
      </w:pPr>
      <w:r>
        <w:rPr>
          <w:rFonts w:ascii="Calibri" w:hAnsi="Calibri"/>
          <w:b/>
          <w:color w:val="2D3748"/>
          <w:sz w:val="21"/>
        </w:rPr>
        <w:t>Yao et al. (2023):</w:t>
      </w:r>
      <w:r>
        <w:rPr>
          <w:rFonts w:ascii="Calibri" w:hAnsi="Calibri"/>
          <w:color w:val="2D3748"/>
          <w:sz w:val="21"/>
        </w:rPr>
        <w:t xml:space="preserve"> ReAct: Synergizing Reasoning and Acting in Language Models. ICLR 2023. arXiv:2210.03629</w:t>
      </w:r>
    </w:p>
    <w:p>
      <w:pPr>
        <w:pStyle w:val="ListBullet"/>
        <w:spacing w:before="0" w:after="60" w:line="276" w:lineRule="auto"/>
      </w:pPr>
      <w:r>
        <w:rPr>
          <w:rFonts w:ascii="Calibri" w:hAnsi="Calibri"/>
          <w:b/>
          <w:color w:val="2D3748"/>
          <w:sz w:val="21"/>
        </w:rPr>
        <w:t>Omar et al. (2025):</w:t>
      </w:r>
      <w:r>
        <w:rPr>
          <w:rFonts w:ascii="Calibri" w:hAnsi="Calibri"/>
          <w:color w:val="2D3748"/>
          <w:sz w:val="21"/>
        </w:rPr>
        <w:t xml:space="preserve"> Multi-model assurance analysis showing LLMs are highly vulnerable to adversarial hallucination attacks during clinical decision support. Communications Medicine, 5(1), 330. DOI: 10.1038/s43856-025-00787-8</w:t>
      </w:r>
    </w:p>
    <w:p>
      <w:pPr>
        <w:pStyle w:val="ListBullet"/>
        <w:spacing w:before="0" w:after="60" w:line="276" w:lineRule="auto"/>
      </w:pPr>
      <w:r>
        <w:rPr>
          <w:rFonts w:ascii="Calibri" w:hAnsi="Calibri"/>
          <w:b/>
          <w:color w:val="2D3748"/>
          <w:sz w:val="21"/>
        </w:rPr>
        <w:t>Venugopal (2026):</w:t>
      </w:r>
      <w:r>
        <w:rPr>
          <w:rFonts w:ascii="Calibri" w:hAnsi="Calibri"/>
          <w:color w:val="2D3748"/>
          <w:sz w:val="21"/>
        </w:rPr>
        <w:t xml:space="preserve"> LLM-powered agentic AI design and implementation in pharmacovigilance — a narrative review. Journal of Medical Artificial Intelligence. DOI: 10.21037/jmai-24-118</w:t>
      </w:r>
    </w:p>
    <w:p>
      <w:pPr>
        <w:pStyle w:val="ListBullet"/>
        <w:spacing w:before="0" w:after="60" w:line="276" w:lineRule="auto"/>
      </w:pPr>
      <w:r>
        <w:rPr>
          <w:rFonts w:ascii="Calibri" w:hAnsi="Calibri"/>
          <w:b/>
          <w:color w:val="2D3748"/>
          <w:sz w:val="21"/>
        </w:rPr>
        <w:t>PSEBench (2026):</w:t>
      </w:r>
      <w:r>
        <w:rPr>
          <w:rFonts w:ascii="Calibri" w:hAnsi="Calibri"/>
          <w:color w:val="2D3748"/>
          <w:sz w:val="21"/>
        </w:rPr>
        <w:t xml:space="preserve"> A Controllable and Verifiable Benchmark for Evaluating LLMs in Patient Safety Event Triage. arXiv:2606.05463</w:t>
      </w:r>
    </w:p>
    <w:p>
      <w:pPr>
        <w:pStyle w:val="ListBullet"/>
        <w:spacing w:before="0" w:after="60" w:line="276" w:lineRule="auto"/>
      </w:pPr>
      <w:r>
        <w:rPr>
          <w:rFonts w:ascii="Calibri" w:hAnsi="Calibri"/>
          <w:b/>
          <w:color w:val="2D3748"/>
          <w:sz w:val="21"/>
        </w:rPr>
        <w:t>Ryan et al. (2013):</w:t>
      </w:r>
      <w:r>
        <w:rPr>
          <w:rFonts w:ascii="Calibri" w:hAnsi="Calibri"/>
          <w:color w:val="2D3748"/>
          <w:sz w:val="21"/>
        </w:rPr>
        <w:t xml:space="preserve"> Defining a Reference Set to Support Evaluation of Methods for Disproportionality Analysis in Spontaneous Reporting Systems. Drug Safety, 36(1), 33–47. DOI: 10.1007/s40264-013-0097-8</w:t>
      </w:r>
    </w:p>
    <w:p>
      <w:pPr>
        <w:pStyle w:val="ListBullet"/>
        <w:spacing w:before="0" w:after="60" w:line="276" w:lineRule="auto"/>
      </w:pPr>
      <w:r>
        <w:rPr>
          <w:rFonts w:ascii="Calibri" w:hAnsi="Calibri"/>
          <w:b/>
          <w:color w:val="2D3748"/>
          <w:sz w:val="21"/>
        </w:rPr>
        <w:t>Evans et al. (2001):</w:t>
      </w:r>
      <w:r>
        <w:rPr>
          <w:rFonts w:ascii="Calibri" w:hAnsi="Calibri"/>
          <w:color w:val="2D3748"/>
          <w:sz w:val="21"/>
        </w:rPr>
        <w:t xml:space="preserve"> Use of proportional reporting ratios (PRRs) for signal generation from spontaneous adverse drug reaction reports. Pharmacoepidemiology and Drug Safety, 10(6), 483–486. DOI: 10.1002/pds.677</w:t>
      </w:r>
    </w:p>
    <w:p>
      <w:pPr>
        <w:pStyle w:val="ListBullet"/>
        <w:spacing w:before="0" w:after="60" w:line="276" w:lineRule="auto"/>
      </w:pPr>
      <w:r>
        <w:rPr>
          <w:rFonts w:ascii="Calibri" w:hAnsi="Calibri"/>
          <w:b/>
          <w:color w:val="2D3748"/>
          <w:sz w:val="21"/>
        </w:rPr>
        <w:t>Gaulton et al. (2019):</w:t>
      </w:r>
      <w:r>
        <w:rPr>
          <w:rFonts w:ascii="Calibri" w:hAnsi="Calibri"/>
          <w:color w:val="2D3748"/>
          <w:sz w:val="21"/>
        </w:rPr>
        <w:t xml:space="preserve"> The ChEMBL database in 2019. Nucleic Acids Research, 47(D1), D930–D940. DOI: 10.1093/nar/gky1075</w:t>
      </w:r>
    </w:p>
    <w:p>
      <w:pPr>
        <w:pStyle w:val="ListBullet"/>
        <w:spacing w:before="0" w:after="60" w:line="276" w:lineRule="auto"/>
      </w:pPr>
      <w:r>
        <w:rPr>
          <w:rFonts w:ascii="Calibri" w:hAnsi="Calibri"/>
          <w:b/>
          <w:color w:val="2D3748"/>
          <w:sz w:val="21"/>
        </w:rPr>
        <w:t>DuMouchel (1999):</w:t>
      </w:r>
      <w:r>
        <w:rPr>
          <w:rFonts w:ascii="Calibri" w:hAnsi="Calibri"/>
          <w:color w:val="2D3748"/>
          <w:sz w:val="21"/>
        </w:rPr>
        <w:t xml:space="preserve"> Bayesian Data Mining in Large Frequency Tables, with an Application to the FDA Spontaneous Reporting System. The American Statistician, 53(3), 177–190. DOI: 10.1080/00031305.1999.10474456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Department of Information Technology — IIIT Allahabad — B.Tech Capstone (7th Semester)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PharmaGuard: Project Update Report | Group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