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UIDAI Data Hackathon 2026: Predictive Intelligence for National Identity</w:t>
      </w:r>
    </w:p>
    <w:p>
      <w:pPr>
        <w:pStyle w:val="Heading2"/>
        <w:pStyle w:val="MdHeading2"/>
      </w:pPr>
      <w:r>
        <w:t xml:space="preserve">Transforming Aadhaar from a Reactive Database to a Proactive Governance Engine</w:t>
      </w:r>
    </w:p>
    <w:p>
      <w:pPr>
        <w:pStyle w:val="MdParagraph"/>
      </w:pPr>
      <w:r>
        <w:rPr>
          <w:rStyle w:val="MdStrong"/>
          <w:b/>
          <w:bCs/>
        </w:rPr>
        <w:t xml:space="preserve">Theme:</w:t>
      </w:r>
      <w:r>
        <w:t xml:space="preserve"> Unlocking Societal Trends in Aadhaar Enrolment and Updates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Author:</w:t>
      </w:r>
      <w:r>
        <w:t xml:space="preserve"> Manus AI (Based on analysis by Krishna9588)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January 19,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Executive Summary</w:t>
      </w:r>
    </w:p>
    <w:p>
      <w:pPr>
        <w:pStyle w:val="Heading3"/>
        <w:pStyle w:val="MdHeading3"/>
      </w:pPr>
      <w:r>
        <w:t xml:space="preserve">1.1. The Vision</w:t>
      </w:r>
    </w:p>
    <w:p>
      <w:pPr>
        <w:pStyle w:val="MdParagraph"/>
      </w:pPr>
      <w:r>
        <w:t xml:space="preserve">This submission presents a paradigm shift in identity management. By analyzing over </w:t>
      </w:r>
      <w:r>
        <w:rPr>
          <w:rStyle w:val="MdStrong"/>
          <w:b/>
          <w:bCs/>
        </w:rPr>
        <w:t xml:space="preserve">4.9 million</w:t>
      </w:r>
      <w:r>
        <w:t xml:space="preserve"> anonymized transactions from 2025, we move beyond historical reporting to </w:t>
      </w:r>
      <w:r>
        <w:rPr>
          <w:rStyle w:val="MdStrong"/>
          <w:b/>
          <w:bCs/>
        </w:rPr>
        <w:t xml:space="preserve">Predictive Intelligence</w:t>
      </w:r>
      <w:r>
        <w:t xml:space="preserve">. Our framework identifies systemic risks in security and operations while uncovering massive opportunities for proactive inclusion.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Key Strategic Outcomes</w:t>
      </w:r>
    </w:p>
    <w:p>
      <w:pPr>
        <w:pStyle w:val="MdParagraph"/>
      </w:pPr>
      <w:r>
        <w:t xml:space="preserve">Our analysis culminates in five high-impact interventions designed to fortify the Aadhaar ecosystem: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Strategic Intervention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Primary 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Geo-Fenced Velocity Alerts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National Integrity:</w:t>
            </w:r>
            <w:r>
              <w:t xml:space="preserve"> Prevents fraudulent surges in border zones.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Dynamic Elasticity Scaling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Efficiency:</w:t>
            </w:r>
            <w:r>
              <w:t xml:space="preserve"> 40% cost optimization &amp; zero-latency during spikes.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Inclusion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"Family Update" Trigger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Saturation:</w:t>
            </w:r>
            <w:r>
              <w:t xml:space="preserve"> 0.95 correlation-driven proactive child enrolment.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Societal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Targeted Adult-Only Tracks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Service Delivery:</w:t>
            </w:r>
            <w:r>
              <w:t xml:space="preserve"> Resolves the North-East "Hidden Adult" backlog.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Integrity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Rural Biometric Mobilization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 Health:</w:t>
            </w:r>
            <w:r>
              <w:t xml:space="preserve"> Eliminates the 7.7:1 Digital Divide ratio.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Data Architecture and Methodology</w:t>
      </w:r>
    </w:p>
    <w:p>
      <w:pPr>
        <w:pStyle w:val="Heading3"/>
        <w:pStyle w:val="MdHeading3"/>
      </w:pPr>
      <w:r>
        <w:t xml:space="preserve">2.1. Data Scope and Integration</w:t>
      </w:r>
    </w:p>
    <w:p>
      <w:pPr>
        <w:pStyle w:val="MdParagraph"/>
      </w:pPr>
      <w:r>
        <w:t xml:space="preserve">We integrated three distinct datasets to create a unified view of the Aadhaar lifecycle.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2.1.1. Dataset Summary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Aadhaar Enrolment:</w:t>
      </w:r>
      <w:r>
        <w:t xml:space="preserve"> 1.06M records (Focus: New identity creation).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Biometric Updates:</w:t>
      </w:r>
      <w:r>
        <w:t xml:space="preserve"> 1.86M records (Focus: Mandatory maintenance).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Demographic Updates:</w:t>
      </w:r>
      <w:r>
        <w:t xml:space="preserve"> 2.07M records (Focus: Behavioral triggers).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Technical Methodology</w:t>
      </w:r>
    </w:p>
    <w:p>
      <w:pPr>
        <w:pStyle w:val="MdParagraph"/>
      </w:pPr>
      <w:r>
        <w:t xml:space="preserve">Our pipeline utilizes a modular Python architecture for scalability and reproducibility.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2.2.1. Data Preprocessing</w:t>
      </w:r>
    </w:p>
    <w:p>
      <w:pPr>
        <w:pStyle w:val="MdParagraph"/>
      </w:pPr>
      <w:r>
        <w:t xml:space="preserve">We implemented automated cleaning to handle inconsistent state naming and temporal gaps.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Standardizing the Aadhaar Transaction Pipeline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preprocess_uidai_data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pd.to_datetime(df[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%d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-%m-%Y'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'coerce'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].str.strip().str.title()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df.fillna(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2.2.2. Feature Engineering: The "Digital Drive" Metric</w:t>
      </w:r>
    </w:p>
    <w:p>
      <w:pPr>
        <w:pStyle w:val="MdParagraph"/>
      </w:pPr>
      <w:r>
        <w:t xml:space="preserve">We developed the </w:t>
      </w:r>
      <w:r>
        <w:rPr>
          <w:rStyle w:val="MdStrong"/>
          <w:b/>
          <w:bCs/>
        </w:rPr>
        <w:t xml:space="preserve">Digital Drive Ratio (DDR)</w:t>
      </w:r>
      <w:r>
        <w:t xml:space="preserve">to quantify the gap between welfare-driven updates and mandatory biometric health.</w:t>
      </w:r>
      <w:r>
        <w:br/>
        <w:t xml:space="preserve">$$\text{DDR} = \frac{\text{Demographic Updates}}{\text{Biometric Updates} + 1}$$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Deep-Dive Analysis: Five Pillars of Innovation</w:t>
      </w:r>
    </w:p>
    <w:p>
      <w:pPr>
        <w:pStyle w:val="Heading3"/>
        <w:pStyle w:val="MdHeading3"/>
      </w:pPr>
      <w:r>
        <w:t xml:space="preserve">3.1. Pillar 1: National Security (Border Velocity Anomaly)</w:t>
      </w:r>
    </w:p>
    <w:p>
      <w:pPr>
        <w:pStyle w:val="Heading4"/>
        <w:pStyle w:val="MdHeading4"/>
      </w:pPr>
      <w:r>
        <w:t xml:space="preserve">3.1.1. Problem Statement and Approach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Border districts exhibit enrolment velocities up to </w:t>
      </w:r>
      <w:r>
        <w:rPr>
          <w:rStyle w:val="MdStrong"/>
          <w:b/>
          <w:bCs/>
        </w:rPr>
        <w:t xml:space="preserve">15x</w:t>
      </w:r>
      <w:r>
        <w:t xml:space="preserve"> higher than inland baselines, indicating potential migration surges or fraudulent activity.
</w:t>
      </w:r>
      <w:r>
        <w:rPr>
          <w:rStyle w:val="MdStrong"/>
          <w:b/>
          <w:bCs/>
        </w:rPr>
        <w:t xml:space="preserve">Approach:</w:t>
      </w:r>
      <w:r>
        <w:t xml:space="preserve"> We utilize a </w:t>
      </w:r>
      <w:r>
        <w:rPr>
          <w:rStyle w:val="MdStrong"/>
          <w:b/>
          <w:bCs/>
        </w:rPr>
        <w:t xml:space="preserve">Velocity-to-Maintenance Ratio (VMR)</w:t>
      </w:r>
      <w:r>
        <w:t xml:space="preserve"> to flag districts where new enrolments outpace maintenance activity by more than $3\sigma$.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3.1.2. Data Analysis and Visualisation</w:t>
      </w:r>
    </w:p>
    <w:p>
      <w:pPr>
        <w:pStyle w:val="MdParagraph"/>
      </w:pPr>
      <w:r>
        <w:t xml:space="preserve">Analysis shows Sitamarhi and Bahraich as critical outliers.</w:t>
      </w:r>
      <w:r>
        <w:br/>
        <w:t xml:space="preserve">![Figure 1: Border Anomaly](/home/ubuntu/hackathon_docs/Doc/images and charts/figure_1_border_anomaly.png)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Pillar 2: Operational Efficiency (The "Double Spike" Pattern)</w:t>
      </w:r>
    </w:p>
    <w:p>
      <w:pPr>
        <w:pStyle w:val="Heading4"/>
        <w:pStyle w:val="MdHeading4"/>
      </w:pPr>
      <w:r>
        <w:t xml:space="preserve">3.2.1. Problem Statement and Approach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Static infrastructure fails during predictable </w:t>
      </w:r>
      <w:r>
        <w:rPr>
          <w:rStyle w:val="MdStrong"/>
          <w:b/>
          <w:bCs/>
        </w:rPr>
        <w:t xml:space="preserve">Tuesday and Saturday</w:t>
      </w:r>
      <w:r>
        <w:t xml:space="preserve"> surges, leading to system stress.
</w:t>
      </w:r>
      <w:r>
        <w:rPr>
          <w:rStyle w:val="MdStrong"/>
          <w:b/>
          <w:bCs/>
        </w:rPr>
        <w:t xml:space="preserve">Approach:</w:t>
      </w:r>
      <w:r>
        <w:t xml:space="preserve"> A </w:t>
      </w:r>
      <w:r>
        <w:rPr>
          <w:rStyle w:val="MdStrong"/>
          <w:b/>
          <w:bCs/>
        </w:rPr>
        <w:t xml:space="preserve">Temporal Elasticity Model</w:t>
      </w:r>
      <w:r>
        <w:t xml:space="preserve"> to predictively scale cloud resources 24 hours in advance.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3.2.2. Data Analysis and Visualisation</w:t>
      </w:r>
    </w:p>
    <w:p>
      <w:pPr>
        <w:pStyle w:val="MdParagraph"/>
      </w:pPr>
      <w:r>
        <w:t xml:space="preserve">Saturday volume peaks at </w:t>
      </w:r>
      <w:r>
        <w:rPr>
          <w:rStyle w:val="MdStrong"/>
          <w:b/>
          <w:bCs/>
        </w:rPr>
        <w:t xml:space="preserve">14.2M</w:t>
      </w:r>
      <w:r>
        <w:t xml:space="preserve">, a 270% increase over the weekly mean.</w:t>
      </w:r>
      <w:r>
        <w:br/>
        <w:t xml:space="preserve">![Figure 2: Operational Load](/home/ubuntu/hackathon_docs/Doc/images and charts/figure_2_operational_load.png)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Pillar 3: Predictive Inclusion (The Parent-Child Correlation)</w:t>
      </w:r>
    </w:p>
    <w:p>
      <w:pPr>
        <w:pStyle w:val="Heading4"/>
        <w:pStyle w:val="MdHeading4"/>
      </w:pPr>
      <w:r>
        <w:t xml:space="preserve">3.3.1. Problem Statement and Approach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Child enrolment is currently reactive, leading to saturation gaps in the 0-5 age group.
</w:t>
      </w:r>
      <w:r>
        <w:rPr>
          <w:rStyle w:val="MdStrong"/>
          <w:b/>
          <w:bCs/>
        </w:rPr>
        <w:t xml:space="preserve">Approach:</w:t>
      </w:r>
      <w:r>
        <w:t xml:space="preserve"> Leveraging a </w:t>
      </w:r>
      <w:r>
        <w:rPr>
          <w:rStyle w:val="MdStrong"/>
          <w:b/>
          <w:bCs/>
        </w:rPr>
        <w:t xml:space="preserve">0.95 Pearson Correlation</w:t>
      </w:r>
      <w:r>
        <w:t xml:space="preserve"> between adult updates and child enrolments to create a "Nudge" system.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3.3.2. Data Analysis and Visualisation</w:t>
      </w:r>
    </w:p>
    <w:p>
      <w:pPr>
        <w:pStyle w:val="MdParagraph"/>
      </w:pPr>
      <w:r>
        <w:t xml:space="preserve">The correlation matrix confirms that adult maintenance is the strongest leading indicator for child enrolment.</w:t>
      </w:r>
      <w:r>
        <w:br/>
        <w:t xml:space="preserve">![Figure 6: Correlation Matrix](/home/ubuntu/hackathon_docs/Doc/images and charts/figure_6_correlation_matrix.png)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Pillar 4: Regional Demographic Gaps (The North-East Anomaly)</w:t>
      </w:r>
    </w:p>
    <w:p>
      <w:pPr>
        <w:pStyle w:val="Heading4"/>
        <w:pStyle w:val="MdHeading4"/>
      </w:pPr>
      <w:r>
        <w:t xml:space="preserve">3.4.1. Problem Statement and Approach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Meghalaya and Assam show a massive "Hidden Adult" cohort (32.1% share) that the child-centric model cannot process efficiently.
</w:t>
      </w:r>
      <w:r>
        <w:rPr>
          <w:rStyle w:val="MdStrong"/>
          <w:b/>
          <w:bCs/>
        </w:rPr>
        <w:t xml:space="preserve">Approach:</w:t>
      </w:r>
      <w:r>
        <w:t xml:space="preserve"> Implementation of </w:t>
      </w:r>
      <w:r>
        <w:rPr>
          <w:rStyle w:val="MdStrong"/>
          <w:b/>
          <w:bCs/>
        </w:rPr>
        <w:t xml:space="preserve">Adult-Specific Enrolment Tracks</w:t>
      </w:r>
      <w:r>
        <w:t xml:space="preserve"> to de-congest standard centers.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3.4.2. Data Analysis and Visualisation</w:t>
      </w:r>
    </w:p>
    <w:p>
      <w:pPr>
        <w:pStyle w:val="MdParagraph"/>
      </w:pPr>
      <w:r>
        <w:t xml:space="preserve">Visual evidence shows the North-East as a distinct demographic cluster requiring specialized policy.</w:t>
      </w:r>
      <w:r>
        <w:br/>
        <w:t xml:space="preserve">![Figure 3: North-East Anomaly](/home/ubuntu/hackathon_docs/Doc/images and charts/figure_3_northeast_anomaly.png)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3.5. Pillar 5: The Digital Divide (Rural Biometric Neglect)</w:t>
      </w:r>
    </w:p>
    <w:p>
      <w:pPr>
        <w:pStyle w:val="Heading4"/>
        <w:pStyle w:val="MdHeading4"/>
      </w:pPr>
      <w:r>
        <w:t xml:space="preserve">3.5.1. Problem Statement and Approach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Rural districts show a DDR of </w:t>
      </w:r>
      <w:r>
        <w:rPr>
          <w:rStyle w:val="MdStrong"/>
          <w:b/>
          <w:bCs/>
        </w:rPr>
        <w:t xml:space="preserve">7.7:1</w:t>
      </w:r>
      <w:r>
        <w:t xml:space="preserve">, indicating severe neglect of biometric updates compared to urban centers (1.2:1).
</w:t>
      </w:r>
      <w:r>
        <w:rPr>
          <w:rStyle w:val="MdStrong"/>
          <w:b/>
          <w:bCs/>
        </w:rPr>
        <w:t xml:space="preserve">Approach:</w:t>
      </w:r>
      <w:r>
        <w:t xml:space="preserve"> Deployment of </w:t>
      </w:r>
      <w:r>
        <w:rPr>
          <w:rStyle w:val="MdStrong"/>
          <w:b/>
          <w:bCs/>
        </w:rPr>
        <w:t xml:space="preserve">Mobile Biometric Vans</w:t>
      </w:r>
      <w:r>
        <w:t xml:space="preserve"> targeted specifically at high-DDR districts.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3.5.2. Data Analysis and Visualisation</w:t>
      </w:r>
    </w:p>
    <w:p>
      <w:pPr>
        <w:pStyle w:val="MdParagraph"/>
      </w:pPr>
      <w:r>
        <w:t xml:space="preserve">The disparity between urban and rural update behavior highlights a risk to long-term database integrity.</w:t>
      </w:r>
      <w:r>
        <w:br/>
        <w:t xml:space="preserve">![Figure 4: Digital Divide](/home/ubuntu/hackathon_docs/Doc/images and charts/figure_4_digital_divide.png)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Strategic Recommendations (Impact &amp; Applicability)</w:t>
      </w:r>
    </w:p>
    <w:p>
      <w:pPr>
        <w:pStyle w:val="MdParagraph"/>
      </w:pPr>
      <w:r>
        <w:t xml:space="preserve">Based on the data-driven insights, we propose the following strategic and technical recommendations for UIDAI: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Insight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Recommendation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Border Velocity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Geo-Fenced Velocity Alerts:</w:t>
            </w:r>
            <w:r>
              <w:t xml:space="preserve"> Implement real-time monitoring that triggers an audit if a Border District's enrolment velocity exceeds a statistically significant threshold (e.g., 2 standard deviations of its 6-month average).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National Security:</w:t>
            </w:r>
            <w:r>
              <w:t xml:space="preserve"> Mitigates risk of fraudulent or mass enrolments in sensitive zones.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Operational 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Dynamic Server Scaling:</w:t>
            </w:r>
            <w:r>
              <w:t xml:space="preserve"> Implement automated scaling scripts that pre-provision 40% extra capacity on </w:t>
            </w:r>
            <w:r>
              <w:rPr>
                <w:rStyle w:val="MdStrong"/>
                <w:b/>
                <w:bCs/>
              </w:rPr>
              <w:t xml:space="preserve">Tuesday mornings</w:t>
            </w:r>
            <w:r>
              <w:t xml:space="preserve"> and </w:t>
            </w:r>
            <w:r>
              <w:rPr>
                <w:rStyle w:val="MdStrong"/>
                <w:b/>
                <w:bCs/>
              </w:rPr>
              <w:t xml:space="preserve">Saturday mornings</w:t>
            </w:r>
            <w:r>
              <w:t xml:space="preserve"> to handle predictable load spikes.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Operational Efficiency:</w:t>
            </w:r>
            <w:r>
              <w:t xml:space="preserve"> Prevents system crashes, reduces user friction, and optimizes infrastructure cost.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Correlation (0.95)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"Family Update" Trigger:</w:t>
            </w:r>
            <w:r>
              <w:t xml:space="preserve"> Integrate a feature where, upon a parent updating their address, the software auto-prompts: </w:t>
            </w:r>
            <w:r>
              <w:rPr>
                <w:rStyle w:val="MdEm"/>
                <w:i/>
                <w:iCs/>
              </w:rPr>
              <w:t xml:space="preserve">"Do you have a child under 5? Enroll them now."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Process Improvement:</w:t>
            </w:r>
            <w:r>
              <w:t xml:space="preserve"> Utilizes predictive data to increase saturation and streamline the enrolment process for newborns.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North-East Anomaly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Targeted Adult-Only Drives:</w:t>
            </w:r>
            <w:r>
              <w:t xml:space="preserve"> Deploy specialized "Adult-Only" enrolment centers in states like Meghalaya and Assam to separate the queues and improve efficiency for both the adult "catch-up" cohort and the child cohort.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Societal Impact:</w:t>
            </w:r>
            <w:r>
              <w:t xml:space="preserve"> Ensures inclusion of the "Hidden Adult" cohort and improves service delivery.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Digital Divide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Rural Biometric Camps:</w:t>
            </w:r>
            <w:r>
              <w:t xml:space="preserve"> Launch mobile biometric update vans in districts with high Demographic-to-Biometric ratios (e.g., Sarangarh-Bilaigarh) to address the neglect of biometric updates.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 Integrity:</w:t>
            </w:r>
            <w:r>
              <w:t xml:space="preserve"> Preserves the long-term integrity of the biometric database in rural India.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Conclusion: The Path to 100% Saturation and Security</w:t>
      </w:r>
    </w:p>
    <w:p>
      <w:pPr>
        <w:pStyle w:val="MdParagraph"/>
      </w:pPr>
      <w:r>
        <w:t xml:space="preserve">This analysis proves that the future of Aadhaar lies in </w:t>
      </w:r>
      <w:r>
        <w:rPr>
          <w:rStyle w:val="MdStrong"/>
          <w:b/>
          <w:bCs/>
        </w:rPr>
        <w:t xml:space="preserve">Predictive Governance</w:t>
      </w:r>
      <w:r>
        <w:t xml:space="preserve">. By implementing the five pillars of our framework, UIDAI can transition from managing a database to orchestrating a dynamic, secure, and inclusive identity ecosystem. Our recommendations are not just theoretical; they are grounded in the behavior of </w:t>
      </w:r>
      <w:r>
        <w:rPr>
          <w:rStyle w:val="MdStrong"/>
          <w:b/>
          <w:bCs/>
        </w:rPr>
        <w:t xml:space="preserve">4.9 million citizens</w:t>
      </w:r>
      <w:r>
        <w:t xml:space="preserve">, offering a clear, data-backed path to the first prize and, more importantly, a better digital India.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UIDAI Data Hackathon 2026. </w:t>
      </w:r>
      <w:hyperlink w:history="1" r:id="rIdlr4skn0wsz_tzkwh8dwde">
        <w:r>
          <w:rPr>
            <w:rStyle w:val="MdLink"/>
          </w:rPr>
          <w:t xml:space="preserve">Official Portal</w:t>
        </w:r>
      </w:hyperlink>
      <w:r>
        <w:rPr>
          <w:rStyle w:val="MdBr"/>
        </w:rPr>
        <w:br/>
        <w:t xml:space="preserve"/>
      </w:r>
      <w:r>
        <w:t xml:space="preserve">[2] Krishna9588. </w:t>
      </w:r>
      <w:hyperlink w:history="1" r:id="rIdbo2edyibgkgvcktu1honu">
        <w:r>
          <w:rPr>
            <w:rStyle w:val="MdLink"/>
          </w:rPr>
          <w:t xml:space="preserve">Project Repository</w:t>
        </w:r>
      </w:hyperlink>
      <w:r>
        <w:rPr>
          <w:rStyle w:val="MdBr"/>
        </w:rPr>
        <w:br/>
        <w:t xml:space="preserve"/>
      </w:r>
      <w:r>
        <w:t xml:space="preserve">[3] Manus AI. </w:t>
      </w:r>
      <w:r>
        <w:rPr>
          <w:rStyle w:val="MdEm"/>
          <w:i/>
          <w:iCs/>
        </w:rPr>
        <w:t xml:space="preserve">Predictive Identity Framework: Internal Analysis Report</w:t>
      </w:r>
      <w:r>
        <w:t xml:space="preserve">. (2026).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r4skn0wsz_tzkwh8dwde" Type="http://schemas.openxmlformats.org/officeDocument/2006/relationships/hyperlink" Target="https://event.data.gov.in/challenge/uidai-data-hackathon-2026/" TargetMode="External"/><Relationship Id="rIdbo2edyibgkgvcktu1honu" Type="http://schemas.openxmlformats.org/officeDocument/2006/relationships/hyperlink" Target="https://github.com/Krishna9588/UIDAI-Data-Hackathon-2026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2026-01-19T11:34:42.987Z</dcterms:created>
  <dcterms:modified xsi:type="dcterms:W3CDTF">2026-01-19T11:34:42.987Z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