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UIDAI Data Hackathon 2026: Predictive Data-Driven Strategies for Inclusion, Security, and Operational Efficiency</w:t>
      </w:r>
    </w:p>
    <w:p>
      <w:pPr>
        <w:pStyle w:val="MdParagraph"/>
      </w:pPr>
      <w:r>
        <w:rPr>
          <w:rStyle w:val="MdStrong"/>
          <w:b/>
          <w:bCs/>
        </w:rPr>
        <w:t xml:space="preserve">Theme:</w:t>
      </w:r>
      <w:r>
        <w:t xml:space="preserve"> Unlocking Societal Trends in Aadhaar Enrolment and Updates
</w:t>
      </w:r>
      <w:r>
        <w:rPr>
          <w:rStyle w:val="MdStrong"/>
          <w:b/>
          <w:bCs/>
        </w:rPr>
        <w:t xml:space="preserve">Author:</w:t>
      </w:r>
      <w:r>
        <w:t xml:space="preserve"> Manus AI (Based on analysis by Krishna9588)
</w:t>
      </w:r>
      <w:r>
        <w:rPr>
          <w:rStyle w:val="MdStrong"/>
          <w:b/>
          <w:bCs/>
        </w:rPr>
        <w:t xml:space="preserve">Date:</w:t>
      </w:r>
      <w:r>
        <w:t xml:space="preserve"> January 19,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report presents a comprehensive, data-driven analysis of over </w:t>
      </w:r>
      <w:r>
        <w:rPr>
          <w:rStyle w:val="MdStrong"/>
          <w:b/>
          <w:bCs/>
        </w:rPr>
        <w:t xml:space="preserve">4.9 million</w:t>
      </w:r>
      <w:r>
        <w:t xml:space="preserve"> anonymized Aadhaar transactions from 2025, transforming the UIDAI data from a historical record into a powerful predictive tool. Our project, </w:t>
      </w:r>
      <w:r>
        <w:rPr>
          <w:rStyle w:val="MdStrong"/>
          <w:b/>
          <w:bCs/>
        </w:rPr>
        <w:t xml:space="preserve">"Unlocking Societal Trends in Aadhaar Enrolment and Updates,"</w:t>
      </w:r>
      <w:r>
        <w:t xml:space="preserve"> identifies five critical, interconnected challenges facing the Aadhaar ecosystem and proposes a </w:t>
      </w:r>
      <w:r>
        <w:rPr>
          <w:rStyle w:val="MdStrong"/>
          <w:b/>
          <w:bCs/>
        </w:rPr>
        <w:t xml:space="preserve">Predictive Trigger Framework</w:t>
      </w:r>
      <w:r>
        <w:t xml:space="preserve"> to shift UIDAI from a reactive, "One-Size-Fits-All" model to a proactive, region-aware system.</w:t>
      </w:r>
    </w:p>
    <w:p>
      <w:pPr>
        <w:pStyle w:val="MdSpace"/>
        <w:spacing w:before="0" w:after="60"/>
      </w:pPr>
    </w:p>
    <w:p>
      <w:pPr>
        <w:pStyle w:val="MdParagraph"/>
      </w:pPr>
      <w:r>
        <w:t xml:space="preserve">The core findings, supported by rigorous statistical analysis and visualization, lead to five strategic recommendations that collectively enhance national security, optimize operational costs, improve data integrity, and accelerate inclusion for the last mile.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Data Summary and Scope</w:t>
      </w:r>
    </w:p>
    <w:p>
      <w:pPr>
        <w:pStyle w:val="MdParagraph"/>
      </w:pPr>
      <w:r>
        <w:t xml:space="preserve">Our analysis is grounded in a robust, integrated dataset of nearly 5 million anonymized transaction records spanning March to December 2025. The data was cleaned, standardized, and merged using a Python pipeline to enable cross-dataset correlation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Dataset</w:t>
            </w:r>
          </w:p>
        </w:tc>
        <w:tc>
          <w:tcPr>
            <w:tcMar>
              <w:top w:type="dxa" w:w="100"/>
              <w:left w:type="dxa" w:w="120"/>
              <w:bottom w:type="dxa" w:w="100"/>
              <w:right w:type="dxa" w:w="120"/>
            </w:tcMar>
            <w:vAlign w:val="center"/>
          </w:tcPr>
          <w:p>
            <w:pPr>
              <w:pStyle w:val="MdTableHeader"/>
              <w:jc w:val="left"/>
            </w:pPr>
            <w:r>
              <w:t xml:space="preserve">Data Volume (Records)</w:t>
            </w:r>
          </w:p>
        </w:tc>
        <w:tc>
          <w:tcPr>
            <w:tcMar>
              <w:top w:type="dxa" w:w="100"/>
              <w:left w:type="dxa" w:w="120"/>
              <w:bottom w:type="dxa" w:w="100"/>
              <w:right w:type="dxa" w:w="120"/>
            </w:tcMar>
            <w:vAlign w:val="center"/>
          </w:tcPr>
          <w:p>
            <w:pPr>
              <w:pStyle w:val="MdTableHeader"/>
              <w:jc w:val="left"/>
            </w:pPr>
            <w:r>
              <w:t xml:space="preserve">Key Columns Analyzed</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Aadhaar Enrolment</w:t>
            </w:r>
          </w:p>
        </w:tc>
        <w:tc>
          <w:tcPr>
            <w:tcMar>
              <w:top w:type="dxa" w:w="80"/>
              <w:left w:type="dxa" w:w="120"/>
              <w:bottom w:type="dxa" w:w="80"/>
              <w:right w:type="dxa" w:w="120"/>
            </w:tcMar>
            <w:vAlign w:val="center"/>
          </w:tcPr>
          <w:p>
            <w:pPr>
              <w:pStyle w:val="MdTableCell"/>
              <w:jc w:val="left"/>
            </w:pPr>
            <w:r>
              <w:t xml:space="preserve">1.06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age_0_5</w:t>
            </w:r>
            <w:r>
              <w:t xml:space="preserve">, </w:t>
            </w:r>
            <w:r>
              <w:rPr>
                <w:rStyle w:val="MdCode"/>
                <w:u w:val="single"/>
              </w:rPr>
              <w:t xml:space="preserve">age_18_greater</w:t>
            </w:r>
          </w:p>
        </w:tc>
        <w:tc>
          <w:tcPr>
            <w:tcBorders>
              <w:right w:val="none"/>
            </w:tcBorders>
            <w:tcMar>
              <w:top w:type="dxa" w:w="80"/>
              <w:left w:type="dxa" w:w="120"/>
              <w:bottom w:type="dxa" w:w="80"/>
              <w:right w:type="dxa" w:w="120"/>
            </w:tcMar>
            <w:vAlign w:val="center"/>
          </w:tcPr>
          <w:p>
            <w:pPr>
              <w:pStyle w:val="MdTableCell"/>
              <w:jc w:val="left"/>
            </w:pPr>
            <w:r>
              <w:t xml:space="preserve">Enrollment volume by age cohort and geo-location.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Biometric Updates</w:t>
            </w:r>
          </w:p>
        </w:tc>
        <w:tc>
          <w:tcPr>
            <w:tcMar>
              <w:top w:type="dxa" w:w="80"/>
              <w:left w:type="dxa" w:w="120"/>
              <w:bottom w:type="dxa" w:w="80"/>
              <w:right w:type="dxa" w:w="120"/>
            </w:tcMar>
            <w:vAlign w:val="center"/>
          </w:tcPr>
          <w:p>
            <w:pPr>
              <w:pStyle w:val="MdTableCell"/>
              <w:jc w:val="left"/>
            </w:pPr>
            <w:r>
              <w:t xml:space="preserve">1.86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bio_age_18_greater</w:t>
            </w:r>
          </w:p>
        </w:tc>
        <w:tc>
          <w:tcPr>
            <w:tcBorders>
              <w:right w:val="none"/>
            </w:tcBorders>
            <w:tcMar>
              <w:top w:type="dxa" w:w="80"/>
              <w:left w:type="dxa" w:w="120"/>
              <w:bottom w:type="dxa" w:w="80"/>
              <w:right w:type="dxa" w:w="120"/>
            </w:tcMar>
            <w:vAlign w:val="center"/>
          </w:tcPr>
          <w:p>
            <w:pPr>
              <w:pStyle w:val="MdTableCell"/>
              <w:jc w:val="left"/>
            </w:pPr>
            <w:r>
              <w:t xml:space="preserve">Frequency of mandatory biometric refreshes.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Demographic Updates</w:t>
            </w:r>
          </w:p>
        </w:tc>
        <w:tc>
          <w:tcPr>
            <w:tcMar>
              <w:top w:type="dxa" w:w="80"/>
              <w:left w:type="dxa" w:w="120"/>
              <w:bottom w:type="dxa" w:w="80"/>
              <w:right w:type="dxa" w:w="120"/>
            </w:tcMar>
            <w:vAlign w:val="center"/>
          </w:tcPr>
          <w:p>
            <w:pPr>
              <w:pStyle w:val="MdTableCell"/>
              <w:jc w:val="left"/>
            </w:pPr>
            <w:r>
              <w:t xml:space="preserve">2.07 Million</w:t>
            </w:r>
          </w:p>
        </w:tc>
        <w:tc>
          <w:tcPr>
            <w:tcMar>
              <w:top w:type="dxa" w:w="80"/>
              <w:left w:type="dxa" w:w="120"/>
              <w:bottom w:type="dxa" w:w="80"/>
              <w:right w:type="dxa" w:w="120"/>
            </w:tcMar>
            <w:vAlign w:val="center"/>
          </w:tcPr>
          <w:p>
            <w:pPr>
              <w:pStyle w:val="MdTableCell"/>
              <w:jc w:val="left"/>
            </w:pP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demo_age_18_greater</w:t>
            </w:r>
          </w:p>
        </w:tc>
        <w:tc>
          <w:tcPr>
            <w:tcBorders>
              <w:right w:val="none"/>
            </w:tcBorders>
            <w:tcMar>
              <w:top w:type="dxa" w:w="80"/>
              <w:left w:type="dxa" w:w="120"/>
              <w:bottom w:type="dxa" w:w="80"/>
              <w:right w:type="dxa" w:w="120"/>
            </w:tcMar>
            <w:vAlign w:val="center"/>
          </w:tcPr>
          <w:p>
            <w:pPr>
              <w:pStyle w:val="MdTableCell"/>
              <w:jc w:val="left"/>
            </w:pPr>
            <w:r>
              <w:t xml:space="preserve">Proxy for migration and scheme-driven citizen behavior.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 Transactions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4.99 Million</w:t>
            </w:r>
          </w:p>
        </w:tc>
        <w:tc>
          <w:tcPr>
            <w:tcBorders>
              <w:bottom w:val="single" w:color="E1E4E8" w:sz="4"/>
            </w:tcBorders>
            <w:tcMar>
              <w:top w:type="dxa" w:w="80"/>
              <w:left w:type="dxa" w:w="120"/>
              <w:bottom w:type="dxa" w:w="80"/>
              <w:right w:type="dxa" w:w="120"/>
            </w:tcMar>
            <w:vAlign w:val="center"/>
          </w:tcPr>
          <w:p>
            <w:pPr>
              <w:pStyle w:val="MdTableCell"/>
              <w:jc w:val="left"/>
            </w:pP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MdHr"/>
        <w:pBdr>
          <w:bottom w:val="single" w:color="auto" w:sz="6" w:space="1"/>
        </w:pBdr>
      </w:pPr>
    </w:p>
    <w:p>
      <w:pPr>
        <w:pStyle w:val="MdSpace"/>
        <w:spacing w:before="0" w:after="60"/>
      </w:pPr>
    </w:p>
    <w:p>
      <w:pPr>
        <w:pStyle w:val="Heading1"/>
        <w:pStyle w:val="MdHeading1"/>
      </w:pPr>
      <w:r>
        <w:t xml:space="preserve">Problem Statement 1: National Security Risks (Border Velocity Anomaly)</w:t>
      </w:r>
    </w:p>
    <w:p>
      <w:pPr>
        <w:pStyle w:val="Heading2"/>
        <w:pStyle w:val="MdHeading2"/>
      </w:pPr>
      <w:r>
        <w:t xml:space="preserve">Problem Statement and Approach</w:t>
      </w:r>
    </w:p>
    <w:p>
      <w:pPr>
        <w:pStyle w:val="MdParagraph"/>
      </w:pPr>
      <w:r>
        <w:rPr>
          <w:rStyle w:val="MdStrong"/>
          <w:b/>
          <w:bCs/>
        </w:rPr>
        <w:t xml:space="preserve">Problem:</w:t>
      </w:r>
      <w:r>
        <w:t xml:space="preserve"> Sensitive border districts are exhibiting "Enrolment Velocity" that is disproportionate to demographic baselines, suggesting potential risks from unmonitored migration or fraudulent enrolment attempts.
</w:t>
      </w:r>
      <w:r>
        <w:rPr>
          <w:rStyle w:val="MdStrong"/>
          <w:b/>
          <w:bCs/>
        </w:rPr>
        <w:t xml:space="preserve">Approach:</w:t>
      </w:r>
      <w:r>
        <w:t xml:space="preserve"> We propose a </w:t>
      </w:r>
      <w:r>
        <w:rPr>
          <w:rStyle w:val="MdStrong"/>
          <w:b/>
          <w:bCs/>
        </w:rPr>
        <w:t xml:space="preserve">Velocity-to-Maintenance Ratio (VMR)</w:t>
      </w:r>
      <w:r>
        <w:t xml:space="preserve"> framework to detect these anomalies by calculating the ratio of New Enrolments to Total Updates.</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Aadhaar Enrolment Data:</w:t>
      </w:r>
      <w:r>
        <w:t xml:space="preserve"> </w:t>
      </w:r>
      <w:r>
        <w:rPr>
          <w:rStyle w:val="MdCode"/>
          <w:u w:val="single"/>
        </w:rPr>
        <w:t xml:space="preserve">date</w:t>
      </w:r>
      <w:r>
        <w:t xml:space="preserve">, </w:t>
      </w:r>
      <w:r>
        <w:rPr>
          <w:rStyle w:val="MdCode"/>
          <w:u w:val="single"/>
        </w:rPr>
        <w:t xml:space="preserve">state</w:t>
      </w:r>
      <w:r>
        <w:t xml:space="preserve">, </w:t>
      </w:r>
      <w:r>
        <w:rPr>
          <w:rStyle w:val="MdCode"/>
          <w:u w:val="single"/>
        </w:rPr>
        <w:t xml:space="preserve">district</w:t>
      </w:r>
      <w:r>
        <w:t xml:space="preserve">, </w:t>
      </w:r>
      <w:r>
        <w:rPr>
          <w:rStyle w:val="MdCode"/>
          <w:u w:val="single"/>
        </w:rPr>
        <w:t xml:space="preserve">age_18_greater</w:t>
      </w:r>
    </w:p>
    <w:p>
      <w:pPr>
        <w:pStyle w:val="MdListItem"/>
        <w:numPr>
          <w:ilvl w:val="0"/>
          <w:numId w:val="2"/>
        </w:numPr>
      </w:pPr>
      <w:r>
        <w:rPr>
          <w:rStyle w:val="MdStrong"/>
          <w:b/>
          <w:bCs/>
        </w:rPr>
        <w:t xml:space="preserve">Update Data:</w:t>
      </w:r>
      <w:r>
        <w:t xml:space="preserve"> </w:t>
      </w:r>
      <w:r>
        <w:rPr>
          <w:rStyle w:val="MdCode"/>
          <w:u w:val="single"/>
        </w:rPr>
        <w:t xml:space="preserve">date</w:t>
      </w:r>
      <w:r>
        <w:t xml:space="preserve">, </w:t>
      </w:r>
      <w:r>
        <w:rPr>
          <w:rStyle w:val="MdCode"/>
          <w:u w:val="single"/>
        </w:rPr>
        <w:t xml:space="preserve">district</w:t>
      </w:r>
      <w:r>
        <w:t xml:space="preserve">, </w:t>
      </w:r>
      <w:r>
        <w:rPr>
          <w:rStyle w:val="MdCode"/>
          <w:u w:val="single"/>
        </w:rPr>
        <w:t xml:space="preserve">demo_age_18_greater</w:t>
      </w:r>
      <w:r>
        <w:t xml:space="preserve">, </w:t>
      </w:r>
      <w:r>
        <w:rPr>
          <w:rStyle w:val="MdCode"/>
          <w:u w:val="single"/>
        </w:rPr>
        <w:t xml:space="preserve">bio_age_18_greater</w:t>
      </w:r>
    </w:p>
    <w:p>
      <w:pPr>
        <w:pStyle w:val="MdSpace"/>
        <w:spacing w:before="0" w:after="60"/>
      </w:pPr>
    </w:p>
    <w:p>
      <w:pPr>
        <w:pStyle w:val="Heading2"/>
        <w:pStyle w:val="MdHeading2"/>
      </w:pPr>
      <w:r>
        <w:t xml:space="preserve">Methodology</w:t>
      </w:r>
    </w:p>
    <w:p>
      <w:pPr>
        <w:pStyle w:val="MdParagraph"/>
      </w:pPr>
      <w:r>
        <w:t xml:space="preserve">We categorized districts as "Border" or "Inland" and calculated the VMR. Districts exceeding the inland baseline by 5x were flagged.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detect_border_anomalies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(df_enrol, df_updates):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'new_enrolments'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'total_updates'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'Inland'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'velocity_ratio'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df_merged[df_merged[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'is_anomaly'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5 of the top 10 highest-enrolment districts are in sensitive border zones. The VMR in these zones is up to </w:t>
      </w:r>
      <w:r>
        <w:rPr>
          <w:rStyle w:val="MdStrong"/>
          <w:b/>
          <w:bCs/>
        </w:rPr>
        <w:t xml:space="preserve">15 times</w:t>
      </w:r>
      <w:r>
        <w:t xml:space="preserve">the national baseline.</w:t>
      </w:r>
      <w:r>
        <w:br/>
        <w:t xml:space="preserve">![Figure 1: High-Enrolment Districts: The "Border Effect"](/home/ubuntu/hackathon_docs/Doc/images and charts/figure_1_border_anomaly.png)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2: Operational Inefficiencies (Tuesday/Saturday Spikes)</w:t>
      </w:r>
    </w:p>
    <w:p>
      <w:pPr>
        <w:pStyle w:val="Heading2"/>
        <w:pStyle w:val="MdHeading2"/>
      </w:pPr>
      <w:r>
        <w:t xml:space="preserve">Problem Statement and Approach</w:t>
      </w:r>
    </w:p>
    <w:p>
      <w:pPr>
        <w:pStyle w:val="MdParagraph"/>
      </w:pPr>
      <w:r>
        <w:rPr>
          <w:rStyle w:val="MdStrong"/>
          <w:b/>
          <w:bCs/>
        </w:rPr>
        <w:t xml:space="preserve">Problem:</w:t>
      </w:r>
      <w:r>
        <w:t xml:space="preserve"> The UIDAI infrastructure operates on a Static Resource Model, failing to address the highly volatile "Weekly Heartbeat" of transaction volume.
</w:t>
      </w:r>
      <w:r>
        <w:rPr>
          <w:rStyle w:val="MdStrong"/>
          <w:b/>
          <w:bCs/>
        </w:rPr>
        <w:t xml:space="preserve">Approach:</w:t>
      </w:r>
      <w:r>
        <w:t xml:space="preserve"> We propose a </w:t>
      </w:r>
      <w:r>
        <w:rPr>
          <w:rStyle w:val="MdStrong"/>
          <w:b/>
          <w:bCs/>
        </w:rPr>
        <w:t xml:space="preserve">Dynamic Elasticity Framework</w:t>
      </w:r>
      <w:r>
        <w:t xml:space="preserve"> based on predictive temporal modeling to enable predictive provisioning.</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Transaction Metadata:</w:t>
      </w:r>
      <w:r>
        <w:t xml:space="preserve"> </w:t>
      </w:r>
      <w:r>
        <w:rPr>
          <w:rStyle w:val="MdCode"/>
          <w:u w:val="single"/>
        </w:rPr>
        <w:t xml:space="preserve">date</w:t>
      </w:r>
      <w:r>
        <w:t xml:space="preserve">, </w:t>
      </w:r>
      <w:r>
        <w:rPr>
          <w:rStyle w:val="MdCode"/>
          <w:u w:val="single"/>
        </w:rPr>
        <w:t xml:space="preserve">transaction_type</w:t>
      </w:r>
    </w:p>
    <w:p>
      <w:pPr>
        <w:pStyle w:val="MdListItem"/>
        <w:numPr>
          <w:ilvl w:val="0"/>
          <w:numId w:val="2"/>
        </w:numPr>
      </w:pPr>
      <w:r>
        <w:rPr>
          <w:rStyle w:val="MdStrong"/>
          <w:b/>
          <w:bCs/>
        </w:rPr>
        <w:t xml:space="preserve">Update Logs:</w:t>
      </w:r>
      <w:r>
        <w:t xml:space="preserve"> </w:t>
      </w:r>
      <w:r>
        <w:rPr>
          <w:rStyle w:val="MdCode"/>
          <w:u w:val="single"/>
        </w:rPr>
        <w:t xml:space="preserve">demo_update_count</w:t>
      </w:r>
      <w:r>
        <w:t xml:space="preserve">, </w:t>
      </w:r>
      <w:r>
        <w:rPr>
          <w:rStyle w:val="MdCode"/>
          <w:u w:val="single"/>
        </w:rPr>
        <w:t xml:space="preserve">bio_update_count</w:t>
      </w:r>
    </w:p>
    <w:p>
      <w:pPr>
        <w:pStyle w:val="MdSpace"/>
        <w:spacing w:before="0" w:after="60"/>
      </w:pPr>
    </w:p>
    <w:p>
      <w:pPr>
        <w:pStyle w:val="Heading2"/>
        <w:pStyle w:val="MdHeading2"/>
      </w:pPr>
      <w:r>
        <w:t xml:space="preserve">Methodology</w:t>
      </w:r>
    </w:p>
    <w:p>
      <w:pPr>
        <w:pStyle w:val="MdParagraph"/>
      </w:pPr>
      <w:r>
        <w:t xml:space="preserve">We extracted </w:t>
      </w:r>
      <w:r>
        <w:rPr>
          <w:rStyle w:val="MdCode"/>
          <w:u w:val="single"/>
        </w:rPr>
        <w:t xml:space="preserve">Day_of_Week</w:t>
      </w:r>
      <w:r>
        <w:t xml:space="preserve"> features and calculated a daily "Scaling Factor" based on the mean load.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calculate_scaling_factors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(df_weekly_load):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'volume'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'scaling_factor'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'PROVISION_EXTRA'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'DEPROVISION'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'MAINTAIN'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df_weekly_load</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The system experiences a massive load spike on </w:t>
      </w:r>
      <w:r>
        <w:rPr>
          <w:rStyle w:val="MdStrong"/>
          <w:b/>
          <w:bCs/>
        </w:rPr>
        <w:t xml:space="preserve">Saturday (14.2M updates)</w:t>
      </w:r>
      <w:r>
        <w:t xml:space="preserve"> and a secondary spike on </w:t>
      </w:r>
      <w:r>
        <w:rPr>
          <w:rStyle w:val="MdStrong"/>
          <w:b/>
          <w:bCs/>
        </w:rPr>
        <w:t xml:space="preserve">Tuesday (7.5M updates)</w:t>
      </w:r>
      <w:r>
        <w:t xml:space="preserve">.</w:t>
      </w:r>
      <w:r>
        <w:br/>
        <w:t xml:space="preserve">![Figure 2: Weekly Load Pattern: Static Resources vs. Dynamic Demand](/home/ubuntu/hackathon_docs/Doc/images and charts/figure_2_operational_load.png)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3: Regional Demographic Gaps (North-East Adult Cohort)</w:t>
      </w:r>
    </w:p>
    <w:p>
      <w:pPr>
        <w:pStyle w:val="Heading2"/>
        <w:pStyle w:val="MdHeading2"/>
      </w:pPr>
      <w:r>
        <w:t xml:space="preserve">Problem Statement and Approach</w:t>
      </w:r>
    </w:p>
    <w:p>
      <w:pPr>
        <w:pStyle w:val="MdParagraph"/>
      </w:pPr>
      <w:r>
        <w:rPr>
          <w:rStyle w:val="MdStrong"/>
          <w:b/>
          <w:bCs/>
        </w:rPr>
        <w:t xml:space="preserve">Problem:</w:t>
      </w:r>
      <w:r>
        <w:t xml:space="preserve"> States in North-East India show a massive influx of adults enrolling for the first time, challenging the child-centric model.
</w:t>
      </w:r>
      <w:r>
        <w:rPr>
          <w:rStyle w:val="MdStrong"/>
          <w:b/>
          <w:bCs/>
        </w:rPr>
        <w:t xml:space="preserve">Approach:</w:t>
      </w:r>
      <w:r>
        <w:t xml:space="preserve"> We propose a </w:t>
      </w:r>
      <w:r>
        <w:rPr>
          <w:rStyle w:val="MdStrong"/>
          <w:b/>
          <w:bCs/>
        </w:rPr>
        <w:t xml:space="preserve">Dual-Track Operations</w:t>
      </w:r>
      <w:r>
        <w:t xml:space="preserve"> model to separate adult "catch-up" demand from child maintenance.</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Aadhaar Enrolment Data:</w:t>
      </w:r>
      <w:r>
        <w:t xml:space="preserve"> </w:t>
      </w:r>
      <w:r>
        <w:rPr>
          <w:rStyle w:val="MdCode"/>
          <w:u w:val="single"/>
        </w:rPr>
        <w:t xml:space="preserve">state</w:t>
      </w:r>
      <w:r>
        <w:t xml:space="preserve">, </w:t>
      </w:r>
      <w:r>
        <w:rPr>
          <w:rStyle w:val="MdCode"/>
          <w:u w:val="single"/>
        </w:rPr>
        <w:t xml:space="preserve">age_0_5</w:t>
      </w:r>
      <w:r>
        <w:t xml:space="preserve">, </w:t>
      </w:r>
      <w:r>
        <w:rPr>
          <w:rStyle w:val="MdCode"/>
          <w:u w:val="single"/>
        </w:rPr>
        <w:t xml:space="preserve">age_5_17</w:t>
      </w:r>
      <w:r>
        <w:t xml:space="preserve">, </w:t>
      </w:r>
      <w:r>
        <w:rPr>
          <w:rStyle w:val="MdCode"/>
          <w:u w:val="single"/>
        </w:rPr>
        <w:t xml:space="preserve">age_18_greater</w:t>
      </w:r>
    </w:p>
    <w:p>
      <w:pPr>
        <w:pStyle w:val="MdSpace"/>
        <w:spacing w:before="0" w:after="60"/>
      </w:pPr>
    </w:p>
    <w:p>
      <w:pPr>
        <w:pStyle w:val="Heading2"/>
        <w:pStyle w:val="MdHeading2"/>
      </w:pPr>
      <w:r>
        <w:t xml:space="preserve">Methodology</w:t>
      </w:r>
    </w:p>
    <w:p>
      <w:pPr>
        <w:pStyle w:val="MdParagraph"/>
      </w:pPr>
      <w:r>
        <w:t xml:space="preserve">We calculated the </w:t>
      </w:r>
      <w:r>
        <w:rPr>
          <w:rStyle w:val="MdStrong"/>
          <w:b/>
          <w:bCs/>
        </w:rPr>
        <w:t xml:space="preserve">Adult Enrollment Share (%)</w:t>
      </w:r>
      <w:r>
        <w:t xml:space="preserve"> and flagged states significantly higher than the 0.9% national average.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'adult_share_pct'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state_stats.sum(</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axis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Meghalaya (32.1%) and Assam (9.9%) have an adult enrolment share up to 30 times the national average.</w:t>
      </w:r>
      <w:r>
        <w:br/>
        <w:t xml:space="preserve">![Figure 3: % of New Enrolments that are Adults (18+)](/home/ubuntu/hackathon_docs/Doc/images and charts/figure_3_northeast_anomaly.png)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4: The Digital Divide (Biometric Neglect)</w:t>
      </w:r>
    </w:p>
    <w:p>
      <w:pPr>
        <w:pStyle w:val="Heading2"/>
        <w:pStyle w:val="MdHeading2"/>
      </w:pPr>
      <w:r>
        <w:t xml:space="preserve">Problem Statement and Approach</w:t>
      </w:r>
    </w:p>
    <w:p>
      <w:pPr>
        <w:pStyle w:val="MdParagraph"/>
      </w:pPr>
      <w:r>
        <w:rPr>
          <w:rStyle w:val="MdStrong"/>
          <w:b/>
          <w:bCs/>
        </w:rPr>
        <w:t xml:space="preserve">Problem:</w:t>
      </w:r>
      <w:r>
        <w:t xml:space="preserve"> Rural citizens prioritize demographic updates (for welfare) over mandatory biometric updates, risking database integrity.
</w:t>
      </w:r>
      <w:r>
        <w:rPr>
          <w:rStyle w:val="MdStrong"/>
          <w:b/>
          <w:bCs/>
        </w:rPr>
        <w:t xml:space="preserve">Approach:</w:t>
      </w:r>
      <w:r>
        <w:t xml:space="preserve"> We use the </w:t>
      </w:r>
      <w:r>
        <w:rPr>
          <w:rStyle w:val="MdStrong"/>
          <w:b/>
          <w:bCs/>
        </w:rPr>
        <w:t xml:space="preserve">Digital Drive Ratio</w:t>
      </w:r>
      <w:r>
        <w:t xml:space="preserve"> to identify districts where this behavioral gap is most pronounced.</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Demographic Update Data:</w:t>
      </w:r>
      <w:r>
        <w:t xml:space="preserve"> </w:t>
      </w:r>
      <w:r>
        <w:rPr>
          <w:rStyle w:val="MdCode"/>
          <w:u w:val="single"/>
        </w:rPr>
        <w:t xml:space="preserve">demo_age_18_greater</w:t>
      </w:r>
    </w:p>
    <w:p>
      <w:pPr>
        <w:pStyle w:val="MdListItem"/>
        <w:numPr>
          <w:ilvl w:val="0"/>
          <w:numId w:val="2"/>
        </w:numPr>
      </w:pPr>
      <w:r>
        <w:rPr>
          <w:rStyle w:val="MdStrong"/>
          <w:b/>
          <w:bCs/>
        </w:rPr>
        <w:t xml:space="preserve">Biometric Update Data:</w:t>
      </w:r>
      <w:r>
        <w:t xml:space="preserve"> </w:t>
      </w:r>
      <w:r>
        <w:rPr>
          <w:rStyle w:val="MdCode"/>
          <w:u w:val="single"/>
        </w:rPr>
        <w:t xml:space="preserve">bio_age_18_greater</w:t>
      </w:r>
    </w:p>
    <w:p>
      <w:pPr>
        <w:pStyle w:val="MdSpace"/>
        <w:spacing w:before="0" w:after="60"/>
      </w:pPr>
    </w:p>
    <w:p>
      <w:pPr>
        <w:pStyle w:val="Heading2"/>
        <w:pStyle w:val="MdHeading2"/>
      </w:pPr>
      <w:r>
        <w:t xml:space="preserve">Methodology</w:t>
      </w:r>
    </w:p>
    <w:p>
      <w:pPr>
        <w:pStyle w:val="MdParagraph"/>
      </w:pPr>
      <w:r>
        <w:t xml:space="preserve">We calculated the ratio of Demographic to Biometric updates. Ratios &gt; 5 were flagged as "Scheme-Dependent."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'digital_drive_ratio'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Rural districts exhibit a high Digital Drive Ratio (up to 7.7:1), compared to 1.2:1 in urban metros.</w:t>
      </w:r>
      <w:r>
        <w:br/>
        <w:t xml:space="preserve">![Figure 4: The Digital Divide (Demographic vs Biometric Ratio)](/home/ubuntu/hackathon_docs/Doc/images and charts/figure_4_digital_divide.png)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Problem Statement 5: Untapped Predictive Signal (Parent-Child Correlation)</w:t>
      </w:r>
    </w:p>
    <w:p>
      <w:pPr>
        <w:pStyle w:val="Heading2"/>
        <w:pStyle w:val="MdHeading2"/>
      </w:pPr>
      <w:r>
        <w:t xml:space="preserve">Problem Statement and Approach</w:t>
      </w:r>
    </w:p>
    <w:p>
      <w:pPr>
        <w:pStyle w:val="MdParagraph"/>
      </w:pPr>
      <w:r>
        <w:rPr>
          <w:rStyle w:val="MdStrong"/>
          <w:b/>
          <w:bCs/>
        </w:rPr>
        <w:t xml:space="preserve">Problem:</w:t>
      </w:r>
      <w:r>
        <w:t xml:space="preserve"> The system misses the opportunity to use adult activity as a "Nudge" for child enrolment.
</w:t>
      </w:r>
      <w:r>
        <w:rPr>
          <w:rStyle w:val="MdStrong"/>
          <w:b/>
          <w:bCs/>
        </w:rPr>
        <w:t xml:space="preserve">Approach:</w:t>
      </w:r>
      <w:r>
        <w:t xml:space="preserve"> We propose a </w:t>
      </w:r>
      <w:r>
        <w:rPr>
          <w:rStyle w:val="MdStrong"/>
          <w:b/>
          <w:bCs/>
        </w:rPr>
        <w:t xml:space="preserve">Predictive Trigger Framework</w:t>
      </w:r>
      <w:r>
        <w:t xml:space="preserve"> leveraging the 0.95 correlation between adult updates and infant enrolments.</w:t>
      </w:r>
    </w:p>
    <w:p>
      <w:pPr>
        <w:pStyle w:val="MdSpace"/>
        <w:spacing w:before="0" w:after="60"/>
      </w:pPr>
    </w:p>
    <w:p>
      <w:pPr>
        <w:pStyle w:val="Heading2"/>
        <w:pStyle w:val="MdHeading2"/>
      </w:pPr>
      <w:r>
        <w:t xml:space="preserve">Datasets Used</w:t>
      </w:r>
    </w:p>
    <w:p>
      <w:pPr>
        <w:pStyle w:val="MdListItem"/>
        <w:numPr>
          <w:ilvl w:val="0"/>
          <w:numId w:val="2"/>
        </w:numPr>
      </w:pPr>
      <w:r>
        <w:rPr>
          <w:rStyle w:val="MdStrong"/>
          <w:b/>
          <w:bCs/>
        </w:rPr>
        <w:t xml:space="preserve">Demographic Update Data:</w:t>
      </w:r>
      <w:r>
        <w:t xml:space="preserve"> </w:t>
      </w:r>
      <w:r>
        <w:rPr>
          <w:rStyle w:val="MdCode"/>
          <w:u w:val="single"/>
        </w:rPr>
        <w:t xml:space="preserve">demo_age_18_greater</w:t>
      </w:r>
    </w:p>
    <w:p>
      <w:pPr>
        <w:pStyle w:val="MdListItem"/>
        <w:numPr>
          <w:ilvl w:val="0"/>
          <w:numId w:val="2"/>
        </w:numPr>
      </w:pPr>
      <w:r>
        <w:rPr>
          <w:rStyle w:val="MdStrong"/>
          <w:b/>
          <w:bCs/>
        </w:rPr>
        <w:t xml:space="preserve">Aadhaar Enrolment Data:</w:t>
      </w:r>
      <w:r>
        <w:t xml:space="preserve"> </w:t>
      </w:r>
      <w:r>
        <w:rPr>
          <w:rStyle w:val="MdCode"/>
          <w:u w:val="single"/>
        </w:rPr>
        <w:t xml:space="preserve">age_0_5</w:t>
      </w:r>
    </w:p>
    <w:p>
      <w:pPr>
        <w:pStyle w:val="MdSpace"/>
        <w:spacing w:before="0" w:after="60"/>
      </w:pPr>
    </w:p>
    <w:p>
      <w:pPr>
        <w:pStyle w:val="Heading2"/>
        <w:pStyle w:val="MdHeading2"/>
      </w:pPr>
      <w:r>
        <w:t xml:space="preserve">Methodology</w:t>
      </w:r>
    </w:p>
    <w:p>
      <w:pPr>
        <w:pStyle w:val="MdParagraph"/>
      </w:pPr>
      <w:r>
        <w:t xml:space="preserve">We calculated the Pearson Correlation Coefficient between adult updates and infant enrolments.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correlation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'demo_age_18_greater'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].corr(df_combined[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'age_0_5'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Result: 0.95</w:t>
      </w:r>
    </w:p>
    <w:p>
      <w:pPr>
        <w:pStyle w:val="MdSpace"/>
        <w:spacing w:before="0" w:after="60"/>
      </w:pPr>
    </w:p>
    <w:p>
      <w:pPr>
        <w:pStyle w:val="Heading2"/>
        <w:pStyle w:val="MdHeading2"/>
      </w:pPr>
      <w:r>
        <w:t xml:space="preserve">Data Analysis and Visualisation</w:t>
      </w:r>
    </w:p>
    <w:p>
      <w:pPr>
        <w:pStyle w:val="MdParagraph"/>
      </w:pPr>
      <w:r>
        <w:rPr>
          <w:rStyle w:val="MdStrong"/>
          <w:b/>
          <w:bCs/>
        </w:rPr>
        <w:t xml:space="preserve">Finding:</w:t>
      </w:r>
      <w:r>
        <w:t xml:space="preserve"> A strong positive correlation (</w:t>
      </w:r>
      <w:r>
        <w:rPr>
          <w:rStyle w:val="MdStrong"/>
          <w:b/>
          <w:bCs/>
        </w:rPr>
        <w:t xml:space="preserve">0.95</w:t>
      </w:r>
      <w:r>
        <w:t xml:space="preserve">) confirms that adult interaction is the strongest predictor of new child entries.</w:t>
      </w:r>
      <w:r>
        <w:br/>
        <w:t xml:space="preserve">![Figure 6: Correlation Matrix - Predictive Indicators](/home/ubuntu/hackathon_docs/Doc/images and charts/figure_6_correlation_matrix.png)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Strategic Recommendations (Impact &amp; Applicability)</w:t>
      </w:r>
    </w:p>
    <w:p>
      <w:pPr>
        <w:pStyle w:val="MdParagraph"/>
      </w:pPr>
      <w:r>
        <w:t xml:space="preserve">Based on the data-driven insights, we propose the following strategic and technical recommendations for UIDAI: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Insight</w:t>
            </w:r>
          </w:p>
        </w:tc>
        <w:tc>
          <w:tcPr>
            <w:tcMar>
              <w:top w:type="dxa" w:w="100"/>
              <w:left w:type="dxa" w:w="120"/>
              <w:bottom w:type="dxa" w:w="100"/>
              <w:right w:type="dxa" w:w="120"/>
            </w:tcMar>
            <w:vAlign w:val="center"/>
          </w:tcPr>
          <w:p>
            <w:pPr>
              <w:pStyle w:val="MdTableHeader"/>
              <w:jc w:val="left"/>
            </w:pPr>
            <w:r>
              <w:t xml:space="preserve">Recommendation</w:t>
            </w:r>
          </w:p>
        </w:tc>
        <w:tc>
          <w:tcPr>
            <w:tcBorders>
              <w:right w:val="none"/>
            </w:tcBorders>
            <w:tcMar>
              <w:top w:type="dxa" w:w="100"/>
              <w:left w:type="dxa" w:w="120"/>
              <w:bottom w:type="dxa" w:w="100"/>
              <w:right w:type="dxa" w:w="120"/>
            </w:tcMar>
            <w:vAlign w:val="center"/>
          </w:tcPr>
          <w:p>
            <w:pPr>
              <w:pStyle w:val="MdTableHeader"/>
              <w:jc w:val="left"/>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Border Velocity</w:t>
            </w:r>
          </w:p>
        </w:tc>
        <w:tc>
          <w:tcPr>
            <w:tcMar>
              <w:top w:type="dxa" w:w="80"/>
              <w:left w:type="dxa" w:w="120"/>
              <w:bottom w:type="dxa" w:w="80"/>
              <w:right w:type="dxa" w:w="120"/>
            </w:tcMar>
            <w:vAlign w:val="center"/>
          </w:tcPr>
          <w:p>
            <w:pPr>
              <w:pStyle w:val="MdTableCell"/>
              <w:jc w:val="left"/>
            </w:pPr>
            <w:r>
              <w:rPr>
                <w:rStyle w:val="MdStrong"/>
                <w:b/>
                <w:bCs/>
              </w:rPr>
              <w:t xml:space="preserve">Geo-Fenced Velocity Alerts:</w:t>
            </w:r>
            <w:r>
              <w:t xml:space="preserve"> Implement real-time monitoring that triggers an audit if a Border District's enrolment velocity exceeds a statistically significant threshold (e.g., 2 standard deviations of its 6-month average).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National Security:</w:t>
            </w:r>
            <w:r>
              <w:t xml:space="preserve"> Mitigates risk of fraudulent or mass enrolments in sensitive zones.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Operational Load</w:t>
            </w:r>
          </w:p>
        </w:tc>
        <w:tc>
          <w:tcPr>
            <w:tcMar>
              <w:top w:type="dxa" w:w="80"/>
              <w:left w:type="dxa" w:w="120"/>
              <w:bottom w:type="dxa" w:w="80"/>
              <w:right w:type="dxa" w:w="120"/>
            </w:tcMar>
            <w:vAlign w:val="center"/>
          </w:tcPr>
          <w:p>
            <w:pPr>
              <w:pStyle w:val="MdTableCell"/>
              <w:jc w:val="left"/>
            </w:pPr>
            <w:r>
              <w:rPr>
                <w:rStyle w:val="MdStrong"/>
                <w:b/>
                <w:bCs/>
              </w:rPr>
              <w:t xml:space="preserve">Dynamic Server Scaling:</w:t>
            </w:r>
            <w:r>
              <w:t xml:space="preserve"> Implement automated scaling scripts that pre-provision 40% extra capacity on </w:t>
            </w:r>
            <w:r>
              <w:rPr>
                <w:rStyle w:val="MdStrong"/>
                <w:b/>
                <w:bCs/>
              </w:rPr>
              <w:t xml:space="preserve">Tuesday mornings</w:t>
            </w:r>
            <w:r>
              <w:t xml:space="preserve"> and </w:t>
            </w:r>
            <w:r>
              <w:rPr>
                <w:rStyle w:val="MdStrong"/>
                <w:b/>
                <w:bCs/>
              </w:rPr>
              <w:t xml:space="preserve">Saturday mornings</w:t>
            </w:r>
            <w:r>
              <w:t xml:space="preserve"> to handle predictable load spikes.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Operational Efficiency:</w:t>
            </w:r>
            <w:r>
              <w:t xml:space="preserve"> Prevents system crashes, reduces user friction, and optimizes infrastructure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Correlation (0.95)</w:t>
            </w:r>
          </w:p>
        </w:tc>
        <w:tc>
          <w:tcPr>
            <w:tcMar>
              <w:top w:type="dxa" w:w="80"/>
              <w:left w:type="dxa" w:w="120"/>
              <w:bottom w:type="dxa" w:w="80"/>
              <w:right w:type="dxa" w:w="120"/>
            </w:tcMar>
            <w:vAlign w:val="center"/>
          </w:tcPr>
          <w:p>
            <w:pPr>
              <w:pStyle w:val="MdTableCell"/>
              <w:jc w:val="left"/>
            </w:pPr>
            <w:r>
              <w:rPr>
                <w:rStyle w:val="MdStrong"/>
                <w:b/>
                <w:bCs/>
              </w:rPr>
              <w:t xml:space="preserve">The "Family Update" Trigger:</w:t>
            </w:r>
            <w:r>
              <w:t xml:space="preserve"> Integrate a feature where, upon a parent updating their address, the software auto-prompts: </w:t>
            </w:r>
            <w:r>
              <w:rPr>
                <w:rStyle w:val="MdEm"/>
                <w:i/>
                <w:iCs/>
              </w:rPr>
              <w:t xml:space="preserve">"Do you have a child under 5? Enroll them now."</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Process Improvement:</w:t>
            </w:r>
            <w:r>
              <w:t xml:space="preserve"> Utilizes predictive data to increase saturation and streamline the enrolment process for newborns.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North-East Anomaly</w:t>
            </w:r>
          </w:p>
        </w:tc>
        <w:tc>
          <w:tcPr>
            <w:tcMar>
              <w:top w:type="dxa" w:w="80"/>
              <w:left w:type="dxa" w:w="120"/>
              <w:bottom w:type="dxa" w:w="80"/>
              <w:right w:type="dxa" w:w="120"/>
            </w:tcMar>
            <w:vAlign w:val="center"/>
          </w:tcPr>
          <w:p>
            <w:pPr>
              <w:pStyle w:val="MdTableCell"/>
              <w:jc w:val="left"/>
            </w:pPr>
            <w:r>
              <w:rPr>
                <w:rStyle w:val="MdStrong"/>
                <w:b/>
                <w:bCs/>
              </w:rPr>
              <w:t xml:space="preserve">Targeted Adult-Only Drives:</w:t>
            </w:r>
            <w:r>
              <w:t xml:space="preserve"> Deploy specialized "Adult-Only" enrolment centers in states like Meghalaya and Assam to separate the queues and improve efficiency for both the adult "catch-up" cohort and the child cohort.</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Societal Impact:</w:t>
            </w:r>
            <w:r>
              <w:t xml:space="preserve"> Ensures inclusion of the "Hidden Adult" cohort and improves service delivery.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Digital Divide</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Rural Biometric Camps:</w:t>
            </w:r>
            <w:r>
              <w:t xml:space="preserve"> Launch mobile biometric update vans in districts with high Demographic-to-Biometric ratios (e.g., Sarangarh-Bilaigarh) to address the neglect of biometric updates.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Data Integrity:</w:t>
            </w:r>
            <w:r>
              <w:t xml:space="preserve"> Preserves the long-term integrity of the biometric database in rural India.</w:t>
            </w:r>
          </w:p>
        </w:tc>
      </w:tr>
    </w:tbl>
    <w:p>
      <w:pPr>
        <w:pStyle w:val="MdHr"/>
        <w:pBdr>
          <w:bottom w:val="single" w:color="auto" w:sz="6" w:space="1"/>
        </w:pBdr>
      </w:pPr>
    </w:p>
    <w:p>
      <w:pPr>
        <w:pStyle w:val="MdSpace"/>
        <w:spacing w:before="0" w:after="60"/>
      </w:pPr>
    </w:p>
    <w:p>
      <w:pPr>
        <w:pStyle w:val="Heading2"/>
        <w:pStyle w:val="MdHeading2"/>
      </w:pPr>
      <w:r>
        <w:t xml:space="preserve">5. Future Predictions and Strategic Induction</w:t>
      </w:r>
    </w:p>
    <w:p>
      <w:pPr>
        <w:pStyle w:val="Heading3"/>
        <w:pStyle w:val="MdHeading3"/>
      </w:pPr>
      <w:r>
        <w:t xml:space="preserve">5.1. Predictive Saturation Modeling</w:t>
      </w:r>
    </w:p>
    <w:p>
      <w:pPr>
        <w:pStyle w:val="MdParagraph"/>
      </w:pPr>
      <w:r>
        <w:t xml:space="preserve">By leveraging the </w:t>
      </w:r>
      <w:r>
        <w:rPr>
          <w:rStyle w:val="MdStrong"/>
          <w:b/>
          <w:bCs/>
        </w:rPr>
        <w:t xml:space="preserve">0.95 Parent-Child correlation</w:t>
      </w:r>
      <w:r>
        <w:t xml:space="preserve">, UIDAI can move from tracking current saturation to </w:t>
      </w:r>
      <w:r>
        <w:rPr>
          <w:rStyle w:val="MdStrong"/>
          <w:b/>
          <w:bCs/>
        </w:rPr>
        <w:t xml:space="preserve">Predictive Saturation</w:t>
      </w:r>
      <w:r>
        <w:t xml:space="preserve">. By monitoring adult demographic updates in real-time, the system can forecast infant enrolment demand 3-6 months in advance, allowing for the proactive deployment of kits and personnel to high-growth districts before bottlenecks occur.</w:t>
      </w:r>
    </w:p>
    <w:p>
      <w:pPr>
        <w:pStyle w:val="MdSpace"/>
        <w:spacing w:before="0" w:after="60"/>
      </w:pPr>
    </w:p>
    <w:p>
      <w:pPr>
        <w:pStyle w:val="Heading3"/>
        <w:pStyle w:val="MdHeading3"/>
      </w:pPr>
      <w:r>
        <w:t xml:space="preserve">5.2. AI-Driven Anomaly Detection (The "Velocity Engine")</w:t>
      </w:r>
    </w:p>
    <w:p>
      <w:pPr>
        <w:pStyle w:val="MdParagraph"/>
      </w:pPr>
      <w:r>
        <w:t xml:space="preserve">The current manual audit process for border districts can be replaced by an </w:t>
      </w:r>
      <w:r>
        <w:rPr>
          <w:rStyle w:val="MdStrong"/>
          <w:b/>
          <w:bCs/>
        </w:rPr>
        <w:t xml:space="preserve">AI-Driven Velocity Engine</w:t>
      </w:r>
      <w:r>
        <w:t xml:space="preserve">. This system would use machine learning to distinguish between "Organic Migration" and "Anomalous Surges" by correlating Aadhaar data with external datasets (e.g., transport logs, scheme disbursements). This would create a self-learning security perimeter for India's digital identity.</w:t>
      </w:r>
    </w:p>
    <w:p>
      <w:pPr>
        <w:pStyle w:val="MdSpace"/>
        <w:spacing w:before="0" w:after="60"/>
      </w:pPr>
    </w:p>
    <w:p>
      <w:pPr>
        <w:pStyle w:val="Heading3"/>
        <w:pStyle w:val="MdHeading3"/>
      </w:pPr>
      <w:r>
        <w:t xml:space="preserve">5.3. Behavioral Nudging for Database Health</w:t>
      </w:r>
    </w:p>
    <w:p>
      <w:pPr>
        <w:pStyle w:val="MdParagraph"/>
      </w:pPr>
      <w:r>
        <w:t xml:space="preserve">The "Digital Divide" can be bridged through </w:t>
      </w:r>
      <w:r>
        <w:rPr>
          <w:rStyle w:val="MdStrong"/>
          <w:b/>
          <w:bCs/>
        </w:rPr>
        <w:t xml:space="preserve">Behavioral Induction</w:t>
      </w:r>
      <w:r>
        <w:t xml:space="preserve">. By integrating biometric health scores into the Aadhaar dashboard, citizens can be "nudged" with personalized incentives (e.g., priority processing for other services) when their biometric data is nearing obsolescence. This transforms database maintenance from a mandatory chore into a value-added service for the citizen.</w:t>
      </w:r>
    </w:p>
    <w:p>
      <w:pPr>
        <w:pStyle w:val="MdSpace"/>
        <w:spacing w:before="0" w:after="60"/>
      </w:pPr>
    </w:p>
    <w:p>
      <w:pPr>
        <w:pStyle w:val="Heading3"/>
        <w:pStyle w:val="MdHeading3"/>
      </w:pPr>
      <w:r>
        <w:t xml:space="preserve">5.4. Dynamic Resource Orchestration</w:t>
      </w:r>
    </w:p>
    <w:p>
      <w:pPr>
        <w:pStyle w:val="MdParagraph"/>
      </w:pPr>
      <w:r>
        <w:t xml:space="preserve">The "Tuesday/Saturday" spikes are just the beginning. Future induction involves </w:t>
      </w:r>
      <w:r>
        <w:rPr>
          <w:rStyle w:val="MdStrong"/>
          <w:b/>
          <w:bCs/>
        </w:rPr>
        <w:t xml:space="preserve">Full-Stack Dynamic Orchestration</w:t>
      </w:r>
      <w:r>
        <w:t xml:space="preserve">, where not just server capacity, but the entire administrative workflow—from document verification to biometric capture—is dynamically scaled based on real-time request velocity, ensuring a zero-wait-time experience for every citizen.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Our submission provides a data-driven blueprint for the future of Aadhaar management. By applying advanced analytics to identify and quantify five systemic challenges, we have developed a </w:t>
      </w:r>
      <w:r>
        <w:rPr>
          <w:rStyle w:val="MdStrong"/>
          <w:b/>
          <w:bCs/>
        </w:rPr>
        <w:t xml:space="preserve">Predictive Trigger Framework</w:t>
      </w:r>
      <w:r>
        <w:t xml:space="preserve"> that offers highly actionable, measurable strategies. The implementation of these recommendations, combined with our vision for future induction, will enable UIDAI to achieve greater security, efficiency, and inclusion, ensuring the Aadhaar system remains a robust foundation for India's digital governance.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UIDAI Data Hackathon 2026. (n.d.). </w:t>
      </w:r>
      <w:r>
        <w:rPr>
          <w:rStyle w:val="MdEm"/>
          <w:i/>
          <w:iCs/>
        </w:rPr>
        <w:t xml:space="preserve">UIDAI Data Hackathon – 2026</w:t>
      </w:r>
      <w:r>
        <w:t xml:space="preserve">. Retrieved from </w:t>
      </w:r>
      <w:hyperlink w:history="1" r:id="rIdntgmlpfvmhcggsb6w_ihi">
        <w:r>
          <w:rPr>
            <w:rStyle w:val="MdLink"/>
          </w:rPr>
          <w:t xml:space="preserve">https://event.data.gov.in/challenge/uidai-data-hackathon-2026/</w:t>
        </w:r>
      </w:hyperlink>
      <w:r>
        <w:t xml:space="preserve">
[2] Krishna9588. (n.d.). </w:t>
      </w:r>
      <w:r>
        <w:rPr>
          <w:rStyle w:val="MdEm"/>
          <w:i/>
          <w:iCs/>
        </w:rPr>
        <w:t xml:space="preserve">UIDAI-Data-Hackathon-2026</w:t>
      </w:r>
      <w:r>
        <w:t xml:space="preserve">. Retrieved from </w:t>
      </w:r>
      <w:hyperlink w:history="1" r:id="rIdzdevrgs1cboylfsnb4dh3">
        <w:r>
          <w:rPr>
            <w:rStyle w:val="MdLink"/>
          </w:rPr>
          <w:t xml:space="preserve">https://github.com/Krishna9588/UIDAI-Data-Hackathon-2026</w:t>
        </w:r>
      </w:hyperlink>
      <w:r>
        <w:t xml:space="preserve">
[3] Manus AI. (2026, January 18). </w:t>
      </w:r>
      <w:r>
        <w:rPr>
          <w:rStyle w:val="MdEm"/>
          <w:i/>
          <w:iCs/>
        </w:rPr>
        <w:t xml:space="preserve">UIDAI Data Hackathon 2026: Comprehensive Data Analysis and Strategic Recommendations</w:t>
      </w:r>
      <w:r>
        <w:t xml:space="preserve">. (Internal Analysis Document)</w:t>
      </w:r>
      <w:r>
        <w:br/>
        <w:t xml:space="preserve">[4] Manus AI. (2026, January 19).</w:t>
      </w:r>
      <w:r>
        <w:rPr>
          <w:rStyle w:val="MdEm"/>
          <w:i/>
          <w:iCs/>
        </w:rPr>
        <w:t xml:space="preserve">UIDAI Data Hackathon 2026: Predictive Enrolment Analysis</w:t>
      </w:r>
      <w:r>
        <w:t xml:space="preserve">. (Internal Analysis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tgmlpfvmhcggsb6w_ihi" Type="http://schemas.openxmlformats.org/officeDocument/2006/relationships/hyperlink" Target="https://event.data.gov.in/challenge/uidai-data-hackathon-2026/" TargetMode="External"/><Relationship Id="rIdzdevrgs1cboylfsnb4dh3" Type="http://schemas.openxmlformats.org/officeDocument/2006/relationships/hyperlink" Target="https://github.com/Krishna9588/UIDAI-Data-Hackathon-2026"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2026-01-19T11:34:20.546Z</dcterms:created>
  <dcterms:modified xsi:type="dcterms:W3CDTF">2026-01-19T11:34:20.546Z</dcterms:modified>
</cp:coreProperties>
</file>

<file path=docProps/custom.xml><?xml version="1.0" encoding="utf-8"?>
<Properties xmlns="http://schemas.openxmlformats.org/officeDocument/2006/custom-properties" xmlns:vt="http://schemas.openxmlformats.org/officeDocument/2006/docPropsVTypes"/>
</file>