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5F9A"/>
          <w:sz w:val="24"/>
        </w:rPr>
        <w:t>Agentic AI Engineer Pathway — Capstone Hackathon</w:t>
      </w:r>
    </w:p>
    <w:p>
      <w:pPr>
        <w:pStyle w:val="Title"/>
        <w:spacing w:after="40"/>
      </w:pPr>
      <w:r>
        <w:t>Loan Origination &amp; Underwriting Copilot</w:t>
      </w:r>
    </w:p>
    <w:p>
      <w:pPr>
        <w:spacing w:after="200"/>
      </w:pPr>
      <w:r>
        <w:rPr>
          <w:i/>
          <w:color w:val="6E6E6E"/>
          <w:sz w:val="18"/>
        </w:rPr>
        <w:t>Business Case BC-AAIE-HACK-02 · Domain: Banking &amp; Finance · Cross-cutting finale: Agentic Core + Context Engineering + MCP + Observability + Cost Governance + Security &amp; Governance + Agent Evaluation</w:t>
      </w:r>
    </w:p>
    <w:p>
      <w:pPr>
        <w:pStyle w:val="Heading1"/>
      </w:pPr>
      <w:r>
        <w:t>1. Project Identity</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vAlign w:val="center"/>
            <w:shd w:fill="D9E2F3"/>
          </w:tcPr>
          <w:p>
            <w:pPr>
              <w:spacing w:after="0" w:before="0"/>
            </w:pPr>
            <w:r>
              <w:rPr>
                <w:b/>
              </w:rPr>
            </w:r>
            <w:r>
              <w:rPr>
                <w:rFonts w:ascii="Arial" w:hAnsi="Arial" w:eastAsia="Arial"/>
                <w:b w:val="0"/>
                <w:sz w:val="18"/>
              </w:rPr>
              <w:t>Business Case Title</w:t>
            </w:r>
          </w:p>
        </w:tc>
        <w:tc>
          <w:tcPr>
            <w:tcW w:type="dxa" w:w="7488"/>
            <w:vAlign w:val="center"/>
          </w:tcPr>
          <w:p>
            <w:pPr>
              <w:spacing w:after="0" w:before="0"/>
            </w:pPr>
            <w:r/>
            <w:r>
              <w:rPr>
                <w:rFonts w:ascii="Arial" w:hAnsi="Arial" w:eastAsia="Arial"/>
                <w:b w:val="0"/>
                <w:sz w:val="18"/>
              </w:rPr>
              <w:t>Loan Origination &amp; Underwriting Copilot</w:t>
            </w:r>
          </w:p>
        </w:tc>
      </w:tr>
      <w:tr>
        <w:trPr>
          <w:cantSplit/>
        </w:trPr>
        <w:tc>
          <w:tcPr>
            <w:tcW w:type="dxa" w:w="3024"/>
            <w:vAlign w:val="center"/>
            <w:shd w:fill="D9E2F3"/>
          </w:tcPr>
          <w:p>
            <w:pPr>
              <w:spacing w:after="0" w:before="0"/>
            </w:pPr>
            <w:r>
              <w:rPr>
                <w:b/>
              </w:rPr>
            </w:r>
            <w:r>
              <w:rPr>
                <w:rFonts w:ascii="Arial" w:hAnsi="Arial" w:eastAsia="Arial"/>
                <w:b w:val="0"/>
                <w:sz w:val="18"/>
              </w:rPr>
              <w:t>Business Case ID</w:t>
            </w:r>
          </w:p>
        </w:tc>
        <w:tc>
          <w:tcPr>
            <w:tcW w:type="dxa" w:w="7488"/>
            <w:vAlign w:val="center"/>
            <w:shd w:fill="EEF3F8"/>
          </w:tcPr>
          <w:p>
            <w:pPr>
              <w:spacing w:after="0" w:before="0"/>
            </w:pPr>
            <w:r/>
            <w:r>
              <w:rPr>
                <w:rFonts w:ascii="Arial" w:hAnsi="Arial" w:eastAsia="Arial"/>
                <w:b w:val="0"/>
                <w:sz w:val="18"/>
              </w:rPr>
              <w:t>BC-AAIE-HACK-02</w:t>
            </w:r>
          </w:p>
        </w:tc>
      </w:tr>
      <w:tr>
        <w:trPr>
          <w:cantSplit/>
        </w:trPr>
        <w:tc>
          <w:tcPr>
            <w:tcW w:type="dxa" w:w="3024"/>
            <w:vAlign w:val="center"/>
            <w:shd w:fill="D9E2F3"/>
          </w:tcPr>
          <w:p>
            <w:pPr>
              <w:spacing w:after="0" w:before="0"/>
            </w:pPr>
            <w:r>
              <w:rPr>
                <w:b/>
              </w:rPr>
            </w:r>
            <w:r>
              <w:rPr>
                <w:rFonts w:ascii="Arial" w:hAnsi="Arial" w:eastAsia="Arial"/>
                <w:b w:val="0"/>
                <w:sz w:val="18"/>
              </w:rPr>
              <w:t>Domain</w:t>
            </w:r>
          </w:p>
        </w:tc>
        <w:tc>
          <w:tcPr>
            <w:tcW w:type="dxa" w:w="7488"/>
            <w:vAlign w:val="center"/>
          </w:tcPr>
          <w:p>
            <w:pPr>
              <w:spacing w:after="0" w:before="0"/>
            </w:pPr>
            <w:r/>
            <w:r>
              <w:rPr>
                <w:rFonts w:ascii="Arial" w:hAnsi="Arial" w:eastAsia="Arial"/>
                <w:b w:val="0"/>
                <w:sz w:val="18"/>
              </w:rPr>
              <w:t>Banking &amp; Finance</w:t>
            </w:r>
          </w:p>
        </w:tc>
      </w:tr>
      <w:tr>
        <w:trPr>
          <w:cantSplit/>
        </w:trPr>
        <w:tc>
          <w:tcPr>
            <w:tcW w:type="dxa" w:w="3024"/>
            <w:vAlign w:val="center"/>
            <w:shd w:fill="D9E2F3"/>
          </w:tcPr>
          <w:p>
            <w:pPr>
              <w:spacing w:after="0" w:before="0"/>
            </w:pPr>
            <w:r>
              <w:rPr>
                <w:b/>
              </w:rPr>
            </w:r>
            <w:r>
              <w:rPr>
                <w:rFonts w:ascii="Arial" w:hAnsi="Arial" w:eastAsia="Arial"/>
                <w:b w:val="0"/>
                <w:sz w:val="18"/>
              </w:rPr>
              <w:t>Project Type</w:t>
            </w:r>
          </w:p>
        </w:tc>
        <w:tc>
          <w:tcPr>
            <w:tcW w:type="dxa" w:w="7488"/>
            <w:vAlign w:val="center"/>
            <w:shd w:fill="EEF3F8"/>
          </w:tcPr>
          <w:p>
            <w:pPr>
              <w:spacing w:after="0" w:before="0"/>
            </w:pPr>
            <w:r/>
            <w:r>
              <w:rPr>
                <w:rFonts w:ascii="Arial" w:hAnsi="Arial" w:eastAsia="Arial"/>
                <w:b w:val="0"/>
                <w:sz w:val="18"/>
              </w:rPr>
              <w:t>Agentic AI Engineer Pathway — Cross-Cutting Capstone Hackathon</w:t>
            </w:r>
          </w:p>
        </w:tc>
      </w:tr>
    </w:tbl>
    <w:p>
      <w:pPr>
        <w:spacing w:after="0"/>
      </w:pPr>
    </w:p>
    <w:p>
      <w:pPr>
        <w:pStyle w:val="Heading1"/>
      </w:pPr>
      <w:r>
        <w:t>2. Engagement Overview</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vAlign w:val="center"/>
            <w:shd w:fill="D9E2F3"/>
          </w:tcPr>
          <w:p>
            <w:pPr>
              <w:spacing w:after="0" w:before="0"/>
            </w:pPr>
            <w:r>
              <w:rPr>
                <w:b/>
              </w:rPr>
            </w:r>
            <w:r>
              <w:rPr>
                <w:rFonts w:ascii="Arial" w:hAnsi="Arial" w:eastAsia="Arial"/>
                <w:b w:val="0"/>
                <w:sz w:val="18"/>
              </w:rPr>
              <w:t>Duration</w:t>
            </w:r>
          </w:p>
        </w:tc>
        <w:tc>
          <w:tcPr>
            <w:tcW w:type="dxa" w:w="7488"/>
            <w:vAlign w:val="center"/>
          </w:tcPr>
          <w:p>
            <w:pPr>
              <w:spacing w:after="0" w:before="0"/>
            </w:pPr>
            <w:r/>
            <w:r>
              <w:rPr>
                <w:rFonts w:ascii="Arial" w:hAnsi="Arial" w:eastAsia="Arial"/>
                <w:b w:val="0"/>
                <w:sz w:val="18"/>
              </w:rPr>
              <w:t>20 hours</w:t>
            </w:r>
          </w:p>
        </w:tc>
      </w:tr>
      <w:tr>
        <w:trPr>
          <w:cantSplit/>
        </w:trPr>
        <w:tc>
          <w:tcPr>
            <w:tcW w:type="dxa" w:w="3024"/>
            <w:vAlign w:val="center"/>
            <w:shd w:fill="D9E2F3"/>
          </w:tcPr>
          <w:p>
            <w:pPr>
              <w:spacing w:after="0" w:before="0"/>
            </w:pPr>
            <w:r>
              <w:rPr>
                <w:b/>
              </w:rPr>
            </w:r>
            <w:r>
              <w:rPr>
                <w:rFonts w:ascii="Arial" w:hAnsi="Arial" w:eastAsia="Arial"/>
                <w:b w:val="0"/>
                <w:sz w:val="18"/>
              </w:rPr>
              <w:t>Format</w:t>
            </w:r>
          </w:p>
        </w:tc>
        <w:tc>
          <w:tcPr>
            <w:tcW w:type="dxa" w:w="7488"/>
            <w:vAlign w:val="center"/>
            <w:shd w:fill="EEF3F8"/>
          </w:tcPr>
          <w:p>
            <w:pPr>
              <w:spacing w:after="0" w:before="0"/>
            </w:pPr>
            <w:r/>
            <w:r>
              <w:rPr>
                <w:rFonts w:ascii="Arial" w:hAnsi="Arial" w:eastAsia="Arial"/>
                <w:b w:val="0"/>
                <w:sz w:val="18"/>
              </w:rPr>
              <w:t>Team of 2–4</w:t>
            </w:r>
          </w:p>
        </w:tc>
      </w:tr>
      <w:tr>
        <w:trPr>
          <w:cantSplit/>
        </w:trPr>
        <w:tc>
          <w:tcPr>
            <w:tcW w:type="dxa" w:w="3024"/>
            <w:vAlign w:val="center"/>
            <w:shd w:fill="D9E2F3"/>
          </w:tcPr>
          <w:p>
            <w:pPr>
              <w:spacing w:after="0" w:before="0"/>
            </w:pPr>
            <w:r>
              <w:rPr>
                <w:b/>
              </w:rPr>
            </w:r>
            <w:r>
              <w:rPr>
                <w:rFonts w:ascii="Arial" w:hAnsi="Arial" w:eastAsia="Arial"/>
                <w:b w:val="0"/>
                <w:sz w:val="18"/>
              </w:rPr>
              <w:t>Evaluation Mode</w:t>
            </w:r>
          </w:p>
        </w:tc>
        <w:tc>
          <w:tcPr>
            <w:tcW w:type="dxa" w:w="7488"/>
            <w:vAlign w:val="center"/>
          </w:tcPr>
          <w:p>
            <w:pPr>
              <w:spacing w:after="0" w:before="0"/>
            </w:pPr>
            <w:r/>
            <w:r>
              <w:rPr>
                <w:rFonts w:ascii="Arial" w:hAnsi="Arial" w:eastAsia="Arial"/>
                <w:b w:val="0"/>
                <w:sz w:val="18"/>
              </w:rPr>
              <w:t>Automated review of the submitted Git repository against the Hackathon Rubric (7 categories / 100 marks), scored entirely from committed evidence in the repository. No live demo judging.</w:t>
            </w:r>
          </w:p>
        </w:tc>
      </w:tr>
      <w:tr>
        <w:trPr>
          <w:cantSplit/>
        </w:trPr>
        <w:tc>
          <w:tcPr>
            <w:tcW w:type="dxa" w:w="3024"/>
            <w:vAlign w:val="center"/>
            <w:shd w:fill="D9E2F3"/>
          </w:tcPr>
          <w:p>
            <w:pPr>
              <w:spacing w:after="0" w:before="0"/>
            </w:pPr>
            <w:r>
              <w:rPr>
                <w:b/>
              </w:rPr>
            </w:r>
            <w:r>
              <w:rPr>
                <w:rFonts w:ascii="Arial" w:hAnsi="Arial" w:eastAsia="Arial"/>
                <w:b w:val="0"/>
                <w:sz w:val="18"/>
              </w:rPr>
              <w:t>Submission</w:t>
            </w:r>
          </w:p>
        </w:tc>
        <w:tc>
          <w:tcPr>
            <w:tcW w:type="dxa" w:w="7488"/>
            <w:vAlign w:val="center"/>
            <w:shd w:fill="EEF3F8"/>
          </w:tcPr>
          <w:p>
            <w:pPr>
              <w:spacing w:after="0" w:before="0"/>
            </w:pPr>
            <w:r/>
            <w:r>
              <w:rPr>
                <w:rFonts w:ascii="Arial" w:hAnsi="Arial" w:eastAsia="Arial"/>
                <w:b w:val="0"/>
                <w:sz w:val="18"/>
              </w:rPr>
              <w:t>Push the final repository to your assigned Virtusa GitLab project by the cut-off.</w:t>
            </w:r>
          </w:p>
        </w:tc>
      </w:tr>
      <w:tr>
        <w:trPr>
          <w:cantSplit/>
        </w:trPr>
        <w:tc>
          <w:tcPr>
            <w:tcW w:type="dxa" w:w="3024"/>
            <w:vAlign w:val="center"/>
            <w:shd w:fill="D9E2F3"/>
          </w:tcPr>
          <w:p>
            <w:pPr>
              <w:spacing w:after="0" w:before="0"/>
            </w:pPr>
            <w:r>
              <w:rPr>
                <w:b/>
              </w:rPr>
            </w:r>
            <w:r>
              <w:rPr>
                <w:rFonts w:ascii="Arial" w:hAnsi="Arial" w:eastAsia="Arial"/>
                <w:b w:val="0"/>
                <w:sz w:val="18"/>
              </w:rPr>
              <w:t>Review Output</w:t>
            </w:r>
          </w:p>
        </w:tc>
        <w:tc>
          <w:tcPr>
            <w:tcW w:type="dxa" w:w="7488"/>
            <w:vAlign w:val="center"/>
          </w:tcPr>
          <w:p>
            <w:pPr>
              <w:spacing w:after="0" w:before="0"/>
            </w:pPr>
            <w:r/>
            <w:r>
              <w:rPr>
                <w:rFonts w:ascii="Arial" w:hAnsi="Arial" w:eastAsia="Arial"/>
                <w:b w:val="0"/>
                <w:sz w:val="18"/>
              </w:rPr>
              <w:t>Per-team Excel report (Summary, Categories, Scorecard, Detailed, Improvement).</w:t>
            </w:r>
          </w:p>
        </w:tc>
      </w:tr>
      <w:tr>
        <w:trPr>
          <w:cantSplit/>
        </w:trPr>
        <w:tc>
          <w:tcPr>
            <w:tcW w:type="dxa" w:w="3024"/>
            <w:vAlign w:val="center"/>
            <w:shd w:fill="D9E2F3"/>
          </w:tcPr>
          <w:p>
            <w:pPr>
              <w:spacing w:after="0" w:before="0"/>
            </w:pPr>
            <w:r>
              <w:rPr>
                <w:b/>
              </w:rPr>
            </w:r>
            <w:r>
              <w:rPr>
                <w:rFonts w:ascii="Arial" w:hAnsi="Arial" w:eastAsia="Arial"/>
                <w:b w:val="0"/>
                <w:sz w:val="18"/>
              </w:rPr>
              <w:t>Grade Bands</w:t>
            </w:r>
          </w:p>
        </w:tc>
        <w:tc>
          <w:tcPr>
            <w:tcW w:type="dxa" w:w="7488"/>
            <w:vAlign w:val="center"/>
            <w:shd w:fill="EEF3F8"/>
          </w:tcPr>
          <w:p>
            <w:pPr>
              <w:spacing w:after="0" w:before="0"/>
            </w:pPr>
            <w:r/>
            <w:r>
              <w:rPr>
                <w:rFonts w:ascii="Arial" w:hAnsi="Arial" w:eastAsia="Arial"/>
                <w:b w:val="0"/>
                <w:sz w:val="18"/>
              </w:rPr>
              <w:t>Pass ≥ 60 · Not Yet Passed &lt; 60</w:t>
            </w:r>
          </w:p>
        </w:tc>
      </w:tr>
    </w:tbl>
    <w:p>
      <w:pPr>
        <w:spacing w:after="0"/>
      </w:pPr>
    </w:p>
    <w:p>
      <w:r>
        <w:rPr>
          <w:b/>
          <w:color w:val="1F4E79"/>
        </w:rPr>
        <w:t>What is evaluated:</w:t>
      </w:r>
      <w:r>
        <w:t xml:space="preserve"> a working LangGraph multi-agent system (foundation: context engineering, tiered memory, a custom MCP server, an agentic-RAG tool) that is then instrumented and governed — Arize Phoenix observability, cost &amp; latency governance, guardrails &amp; audit, governance/compliance documentation, and agent-level evaluation &amp; testing. Every claim is scored from committed evidence.</w:t>
      </w:r>
    </w:p>
    <w:p>
      <w:pPr>
        <w:spacing w:after="100"/>
      </w:pPr>
      <w:r>
        <w:rPr>
          <w:i w:val="0"/>
        </w:rPr>
        <w:t>.</w:t>
      </w:r>
    </w:p>
    <w:p>
      <w:r>
        <w:rPr>
          <w:b/>
          <w:color w:val="1F4E79"/>
        </w:rPr>
        <w:t>What is not evaluated:</w:t>
      </w:r>
      <w:r>
        <w:t xml:space="preserve"> the visual polish of any interface, generic unit-test volume, or which optional deployment path you use. Containerized/cloud deployment is out of scope for this cut.</w:t>
      </w:r>
    </w:p>
    <w:p>
      <w:pPr>
        <w:pStyle w:val="Heading1"/>
      </w:pPr>
      <w:r>
        <w:t>3. Problem Statement &amp; Expected Solution</w:t>
      </w:r>
    </w:p>
    <w:p>
      <w:pPr>
        <w:pStyle w:val="Heading2"/>
      </w:pPr>
      <w:r>
        <w:t>3.1 Problem</w:t>
      </w:r>
    </w:p>
    <w:p>
      <w:pPr>
        <w:spacing w:after="100"/>
      </w:pPr>
      <w:r>
        <w:rPr>
          <w:i w:val="0"/>
        </w:rPr>
        <w:t>A retail bank's loan officers spend most of an application on manual work: gathering the applicant's documents, checking eligibility against product policy, computing affordability, screening for risk flags, and drafting a decision rationale. Rules are scattered across policy PDFs and change often, so decisions are inconsistent and slow. The bank wants an agentic copilot that ingests a loan application, retrieves the current lending policy, computes eligibility and affordability, screens risk, and drafts an auditable decision recommendation — with a human making the final call.</w:t>
      </w:r>
    </w:p>
    <w:p>
      <w:pPr>
        <w:pStyle w:val="Heading2"/>
      </w:pPr>
      <w:r>
        <w:t>3.2 Your Role</w:t>
      </w:r>
    </w:p>
    <w:p>
      <w:pPr>
        <w:spacing w:after="100"/>
      </w:pPr>
      <w:r>
        <w:rPr>
          <w:i w:val="0"/>
        </w:rPr>
        <w:t>Agentic AI Engineer. You build a LangGraph multi-agent copilot, then instrument it with Arize Phoenix, govern its cost and latency, harden it with guardrails and an audit trail, document its risk and compliance posture, and prove its behaviour with agent-level evaluation and tests — delivering every artifact as committed evidence.</w:t>
      </w:r>
    </w:p>
    <w:p>
      <w:pPr>
        <w:pStyle w:val="Heading2"/>
      </w:pPr>
      <w:r>
        <w:t>3.3 Expected Solution</w:t>
      </w:r>
    </w:p>
    <w:p>
      <w:pPr>
        <w:spacing w:after="100"/>
      </w:pPr>
      <w:r>
        <w:rPr>
          <w:i w:val="0"/>
        </w:rPr>
        <w:t>A working, instrumented multi-agent application delivered as a Git repository that demonstrates:</w:t>
      </w:r>
    </w:p>
    <w:p>
      <w:pPr>
        <w:pStyle w:val="ListBullet"/>
        <w:spacing w:after="40"/>
      </w:pPr>
      <w:r>
        <w:t>A LangGraph graph: typed state, a supervisor routing loan applications to specialized worker agents (an eligibility-and-affordability agent, a policy-retrieval agent, a risk-screening agent), conditional routing, checkpointing and structured output.</w:t>
      </w:r>
    </w:p>
    <w:p>
      <w:pPr>
        <w:pStyle w:val="ListBullet"/>
        <w:spacing w:after="40"/>
      </w:pPr>
      <w:r>
        <w:t>A custom MCP server (≥ 2 tools + 1 resource) consumed via langchain-mcp-adapters, engineered context (write/select/compress/isolate + summarization + quarantine of untrusted applicant-supplied text), tiered memory with verified cross-session persistence, and an agentic-RAG tool over a synthetic lending-policy corpus.</w:t>
      </w:r>
    </w:p>
    <w:p>
      <w:pPr>
        <w:pStyle w:val="ListBullet"/>
        <w:spacing w:after="40"/>
      </w:pPr>
      <w:r>
        <w:t>Arize Phoenix instrumentation with a committed trace export, a machine-generated tool-invocation log, and an evidence-linked failure-mode analysis.</w:t>
      </w:r>
    </w:p>
    <w:p>
      <w:pPr>
        <w:pStyle w:val="ListBullet"/>
        <w:spacing w:after="40"/>
      </w:pPr>
      <w:r>
        <w:t>A Phoenix-derived golden-signals report and a cost/latency dashboard; input/output guardrails, an audit trail and secrets hygiene; a governance pack (risk register, model card, compliance mapping, output-risk classification).</w:t>
      </w:r>
    </w:p>
    <w:p>
      <w:pPr>
        <w:pStyle w:val="ListBullet"/>
        <w:spacing w:after="40"/>
      </w:pPr>
      <w:r>
        <w:t>Agent-level evaluation (LLM-as-judge + hallucination) and agent tests (routing-logic, loop/cascade guard, tool-contract), with a reproducible local-run runbook.</w:t>
      </w:r>
    </w:p>
    <w:p>
      <w:pPr>
        <w:pStyle w:val="Heading2"/>
      </w:pPr>
      <w:r>
        <w:t>3.4 Applicable Rules</w:t>
      </w:r>
    </w:p>
    <w:p>
      <w:pPr>
        <w:pStyle w:val="ListBullet"/>
        <w:spacing w:after="40"/>
      </w:pPr>
      <w:r>
        <w:rPr>
          <w:b/>
        </w:rPr>
        <w:t xml:space="preserve">Evidence-in-Repo Rule. </w:t>
      </w:r>
      <w:r>
        <w:t>Only committed artifacts are scored. A claim with no committed evidence scores zero; an evidence artifact with no producing code (a metric, trace or log a team could hand-write) is heavily discounted.</w:t>
      </w:r>
    </w:p>
    <w:p>
      <w:pPr>
        <w:pStyle w:val="ListBullet"/>
        <w:spacing w:after="40"/>
      </w:pPr>
      <w:r>
        <w:rPr>
          <w:b/>
        </w:rPr>
        <w:t xml:space="preserve">Citation-Resolves Rule. </w:t>
      </w:r>
      <w:r>
        <w:t>Wherever a document cites evidence (a Phoenix run/span id, a log record, a control file), the citation must resolve to a committed artifact. Unresolvable citations are treated as missing.</w:t>
      </w:r>
    </w:p>
    <w:p>
      <w:pPr>
        <w:pStyle w:val="ListBullet"/>
        <w:spacing w:after="40"/>
      </w:pPr>
      <w:r>
        <w:rPr>
          <w:b/>
        </w:rPr>
        <w:t xml:space="preserve">Synthetic-Data Rule. </w:t>
      </w:r>
      <w:r>
        <w:t>Use only synthetic loan applications and lending policies you generate. Applicant PII and account/card numbers must be synthetic and masked where shown; never write them to logs in plaintext.</w:t>
      </w:r>
    </w:p>
    <w:p>
      <w:pPr>
        <w:pStyle w:val="ListBullet"/>
        <w:spacing w:after="40"/>
      </w:pPr>
      <w:r>
        <w:rPr>
          <w:b/>
        </w:rPr>
        <w:t xml:space="preserve">Open-Source &amp; Gemini-Only Rule. </w:t>
      </w:r>
      <w:r>
        <w:t>Use the approved open-source stack with Google Gemini as the only model provider (not Claude). Build, run and evaluate with pip + Python — no Docker or external database service required for this cut.</w:t>
      </w:r>
    </w:p>
    <w:p>
      <w:pPr>
        <w:pStyle w:val="ListBullet"/>
        <w:spacing w:after="40"/>
      </w:pPr>
      <w:r>
        <w:rPr>
          <w:b/>
        </w:rPr>
        <w:t xml:space="preserve">Reproducibility Rule. </w:t>
      </w:r>
      <w:r>
        <w:t>The system, its traces and its evaluation must be regenerable from a single documented command with committed sample inputs.</w:t>
      </w:r>
    </w:p>
    <w:p>
      <w:pPr>
        <w:pStyle w:val="Heading1"/>
      </w:pPr>
      <w:r>
        <w:t>4. Technology &amp; Framework Stack</w:t>
      </w:r>
    </w:p>
    <w:p>
      <w:pPr>
        <w:spacing w:after="100"/>
      </w:pPr>
      <w:r>
        <w:rPr>
          <w:i w:val="0"/>
        </w:rPr>
        <w:t>Fixed open-source toolchain with Google Gemini as the only model provider. Everything installs with pip; no Docker or external DB service required.</w:t>
      </w:r>
    </w:p>
    <w:tbl>
      <w:tblPr>
        <w:tblStyle w:val="TableGrid"/>
        <w:tblW w:type="auto" w:w="0"/>
        <w:jc w:val="center"/>
        <w:tblLook w:firstColumn="1" w:firstRow="1" w:lastColumn="0" w:lastRow="0" w:noHBand="0" w:noVBand="1" w:val="04A0"/>
      </w:tblPr>
      <w:tblGrid>
        <w:gridCol w:w="5184"/>
        <w:gridCol w:w="5184"/>
      </w:tblGrid>
      <w:tr>
        <w:trPr>
          <w:cantSplit/>
        </w:trPr>
        <w:tc>
          <w:tcPr>
            <w:tcW w:type="dxa" w:w="3312"/>
            <w:vAlign w:val="center"/>
            <w:shd w:fill="17365D"/>
          </w:tcPr>
          <w:p>
            <w:pPr>
              <w:spacing w:after="0" w:before="0"/>
            </w:pPr>
            <w:r/>
            <w:r>
              <w:rPr>
                <w:rFonts w:ascii="Arial" w:hAnsi="Arial" w:eastAsia="Arial"/>
                <w:b/>
                <w:color w:val="FFFFFF"/>
                <w:sz w:val="17"/>
              </w:rPr>
              <w:t>Layer</w:t>
            </w:r>
          </w:p>
        </w:tc>
        <w:tc>
          <w:tcPr>
            <w:tcW w:type="dxa" w:w="7344"/>
            <w:vAlign w:val="center"/>
            <w:shd w:fill="17365D"/>
          </w:tcPr>
          <w:p>
            <w:pPr>
              <w:spacing w:after="0" w:before="0"/>
            </w:pPr>
            <w:r/>
            <w:r>
              <w:rPr>
                <w:rFonts w:ascii="Arial" w:hAnsi="Arial" w:eastAsia="Arial"/>
                <w:b/>
                <w:color w:val="FFFFFF"/>
                <w:sz w:val="17"/>
              </w:rPr>
              <w:t>Approved tool (open source unless noted)</w:t>
            </w:r>
          </w:p>
        </w:tc>
      </w:tr>
      <w:tr>
        <w:trPr>
          <w:cantSplit/>
        </w:trPr>
        <w:tc>
          <w:tcPr>
            <w:tcW w:type="dxa" w:w="3312"/>
            <w:vAlign w:val="center"/>
          </w:tcPr>
          <w:p>
            <w:pPr>
              <w:spacing w:after="0" w:before="0"/>
            </w:pPr>
            <w:r/>
            <w:r>
              <w:rPr>
                <w:rFonts w:ascii="Arial" w:hAnsi="Arial" w:eastAsia="Arial"/>
                <w:b w:val="0"/>
                <w:sz w:val="17"/>
              </w:rPr>
              <w:t>Language / Agent Framework</w:t>
            </w:r>
          </w:p>
        </w:tc>
        <w:tc>
          <w:tcPr>
            <w:tcW w:type="dxa" w:w="7344"/>
            <w:vAlign w:val="center"/>
          </w:tcPr>
          <w:p>
            <w:pPr>
              <w:spacing w:after="0" w:before="0"/>
            </w:pPr>
            <w:r/>
            <w:r>
              <w:rPr>
                <w:rFonts w:ascii="Arial" w:hAnsi="Arial" w:eastAsia="Arial"/>
                <w:b w:val="0"/>
                <w:sz w:val="17"/>
              </w:rPr>
              <w:t>Python 3.11+ · LangGraph (MIT)</w:t>
            </w:r>
          </w:p>
        </w:tc>
      </w:tr>
      <w:tr>
        <w:trPr>
          <w:cantSplit/>
        </w:trPr>
        <w:tc>
          <w:tcPr>
            <w:tcW w:type="dxa" w:w="3312"/>
            <w:vAlign w:val="center"/>
            <w:shd w:fill="EEF3F8"/>
          </w:tcPr>
          <w:p>
            <w:pPr>
              <w:spacing w:after="0" w:before="0"/>
            </w:pPr>
            <w:r/>
            <w:r>
              <w:rPr>
                <w:rFonts w:ascii="Arial" w:hAnsi="Arial" w:eastAsia="Arial"/>
                <w:b w:val="0"/>
                <w:sz w:val="17"/>
              </w:rPr>
              <w:t>LLM Provider</w:t>
            </w:r>
          </w:p>
        </w:tc>
        <w:tc>
          <w:tcPr>
            <w:tcW w:type="dxa" w:w="7344"/>
            <w:vAlign w:val="center"/>
            <w:shd w:fill="EEF3F8"/>
          </w:tcPr>
          <w:p>
            <w:pPr>
              <w:spacing w:after="0" w:before="0"/>
            </w:pPr>
            <w:r/>
            <w:r>
              <w:rPr>
                <w:rFonts w:ascii="Arial" w:hAnsi="Arial" w:eastAsia="Arial"/>
                <w:b w:val="0"/>
                <w:sz w:val="17"/>
              </w:rPr>
              <w:t>Google Gemini (API) — the only approved provider; not Claude</w:t>
            </w:r>
          </w:p>
        </w:tc>
      </w:tr>
      <w:tr>
        <w:trPr>
          <w:cantSplit/>
        </w:trPr>
        <w:tc>
          <w:tcPr>
            <w:tcW w:type="dxa" w:w="3312"/>
            <w:vAlign w:val="center"/>
          </w:tcPr>
          <w:p>
            <w:pPr>
              <w:spacing w:after="0" w:before="0"/>
            </w:pPr>
            <w:r/>
            <w:r>
              <w:rPr>
                <w:rFonts w:ascii="Arial" w:hAnsi="Arial" w:eastAsia="Arial"/>
                <w:b w:val="0"/>
                <w:sz w:val="17"/>
              </w:rPr>
              <w:t>Interoperability</w:t>
            </w:r>
          </w:p>
        </w:tc>
        <w:tc>
          <w:tcPr>
            <w:tcW w:type="dxa" w:w="7344"/>
            <w:vAlign w:val="center"/>
          </w:tcPr>
          <w:p>
            <w:pPr>
              <w:spacing w:after="0" w:before="0"/>
            </w:pPr>
            <w:r/>
            <w:r>
              <w:rPr>
                <w:rFonts w:ascii="Arial" w:hAnsi="Arial" w:eastAsia="Arial"/>
                <w:b w:val="0"/>
                <w:sz w:val="17"/>
              </w:rPr>
              <w:t>MCP Python SDK (stdio) + langchain-mcp-adapters</w:t>
            </w:r>
          </w:p>
        </w:tc>
      </w:tr>
      <w:tr>
        <w:trPr>
          <w:cantSplit/>
        </w:trPr>
        <w:tc>
          <w:tcPr>
            <w:tcW w:type="dxa" w:w="3312"/>
            <w:vAlign w:val="center"/>
            <w:shd w:fill="EEF3F8"/>
          </w:tcPr>
          <w:p>
            <w:pPr>
              <w:spacing w:after="0" w:before="0"/>
            </w:pPr>
            <w:r/>
            <w:r>
              <w:rPr>
                <w:rFonts w:ascii="Arial" w:hAnsi="Arial" w:eastAsia="Arial"/>
                <w:b w:val="0"/>
                <w:sz w:val="17"/>
              </w:rPr>
              <w:t>Memory</w:t>
            </w:r>
          </w:p>
        </w:tc>
        <w:tc>
          <w:tcPr>
            <w:tcW w:type="dxa" w:w="7344"/>
            <w:vAlign w:val="center"/>
            <w:shd w:fill="EEF3F8"/>
          </w:tcPr>
          <w:p>
            <w:pPr>
              <w:spacing w:after="0" w:before="0"/>
            </w:pPr>
            <w:r/>
            <w:r>
              <w:rPr>
                <w:rFonts w:ascii="Arial" w:hAnsi="Arial" w:eastAsia="Arial"/>
                <w:b w:val="0"/>
                <w:sz w:val="17"/>
              </w:rPr>
              <w:t>langgraph-checkpoint-sqlite (SQLite file) + LangMem</w:t>
            </w:r>
          </w:p>
        </w:tc>
      </w:tr>
      <w:tr>
        <w:trPr>
          <w:cantSplit/>
        </w:trPr>
        <w:tc>
          <w:tcPr>
            <w:tcW w:type="dxa" w:w="3312"/>
            <w:vAlign w:val="center"/>
          </w:tcPr>
          <w:p>
            <w:pPr>
              <w:spacing w:after="0" w:before="0"/>
            </w:pPr>
            <w:r/>
            <w:r>
              <w:rPr>
                <w:rFonts w:ascii="Arial" w:hAnsi="Arial" w:eastAsia="Arial"/>
                <w:b w:val="0"/>
                <w:sz w:val="17"/>
              </w:rPr>
              <w:t>Retrieval</w:t>
            </w:r>
          </w:p>
        </w:tc>
        <w:tc>
          <w:tcPr>
            <w:tcW w:type="dxa" w:w="7344"/>
            <w:vAlign w:val="center"/>
          </w:tcPr>
          <w:p>
            <w:pPr>
              <w:spacing w:after="0" w:before="0"/>
            </w:pPr>
            <w:r/>
            <w:r>
              <w:rPr>
                <w:rFonts w:ascii="Arial" w:hAnsi="Arial" w:eastAsia="Arial"/>
                <w:b w:val="0"/>
                <w:sz w:val="17"/>
              </w:rPr>
              <w:t>Chroma or FAISS + Sentence-Transformers (local)</w:t>
            </w:r>
          </w:p>
        </w:tc>
      </w:tr>
      <w:tr>
        <w:trPr>
          <w:cantSplit/>
        </w:trPr>
        <w:tc>
          <w:tcPr>
            <w:tcW w:type="dxa" w:w="3312"/>
            <w:vAlign w:val="center"/>
            <w:shd w:fill="EEF3F8"/>
          </w:tcPr>
          <w:p>
            <w:pPr>
              <w:spacing w:after="0" w:before="0"/>
            </w:pPr>
            <w:r/>
            <w:r>
              <w:rPr>
                <w:rFonts w:ascii="Arial" w:hAnsi="Arial" w:eastAsia="Arial"/>
                <w:b w:val="0"/>
                <w:sz w:val="17"/>
              </w:rPr>
              <w:t>Observability (mandated)</w:t>
            </w:r>
          </w:p>
        </w:tc>
        <w:tc>
          <w:tcPr>
            <w:tcW w:type="dxa" w:w="7344"/>
            <w:vAlign w:val="center"/>
            <w:shd w:fill="EEF3F8"/>
          </w:tcPr>
          <w:p>
            <w:pPr>
              <w:spacing w:after="0" w:before="0"/>
            </w:pPr>
            <w:r/>
            <w:r>
              <w:rPr>
                <w:rFonts w:ascii="Arial" w:hAnsi="Arial" w:eastAsia="Arial"/>
                <w:b w:val="0"/>
                <w:sz w:val="17"/>
              </w:rPr>
              <w:t>Arize Phoenix + OpenTelemetry / openinference (local, in-process)</w:t>
            </w:r>
          </w:p>
        </w:tc>
      </w:tr>
      <w:tr>
        <w:trPr>
          <w:cantSplit/>
        </w:trPr>
        <w:tc>
          <w:tcPr>
            <w:tcW w:type="dxa" w:w="3312"/>
            <w:vAlign w:val="center"/>
          </w:tcPr>
          <w:p>
            <w:pPr>
              <w:spacing w:after="0" w:before="0"/>
            </w:pPr>
            <w:r/>
            <w:r>
              <w:rPr>
                <w:rFonts w:ascii="Arial" w:hAnsi="Arial" w:eastAsia="Arial"/>
                <w:b w:val="0"/>
                <w:sz w:val="17"/>
              </w:rPr>
              <w:t>Evaluation</w:t>
            </w:r>
          </w:p>
        </w:tc>
        <w:tc>
          <w:tcPr>
            <w:tcW w:type="dxa" w:w="7344"/>
            <w:vAlign w:val="center"/>
          </w:tcPr>
          <w:p>
            <w:pPr>
              <w:spacing w:after="0" w:before="0"/>
            </w:pPr>
            <w:r/>
            <w:r>
              <w:rPr>
                <w:rFonts w:ascii="Arial" w:hAnsi="Arial" w:eastAsia="Arial"/>
                <w:b w:val="0"/>
                <w:sz w:val="17"/>
              </w:rPr>
              <w:t>DeepEval (LLM-as-judge = Gemini) · pytest for agent tests</w:t>
            </w:r>
          </w:p>
        </w:tc>
      </w:tr>
      <w:tr>
        <w:trPr>
          <w:cantSplit/>
        </w:trPr>
        <w:tc>
          <w:tcPr>
            <w:tcW w:type="dxa" w:w="3312"/>
            <w:vAlign w:val="center"/>
            <w:shd w:fill="EEF3F8"/>
          </w:tcPr>
          <w:p>
            <w:pPr>
              <w:spacing w:after="0" w:before="0"/>
            </w:pPr>
            <w:r/>
            <w:r>
              <w:rPr>
                <w:rFonts w:ascii="Arial" w:hAnsi="Arial" w:eastAsia="Arial"/>
                <w:b w:val="0"/>
                <w:sz w:val="17"/>
              </w:rPr>
              <w:t>Security</w:t>
            </w:r>
          </w:p>
        </w:tc>
        <w:tc>
          <w:tcPr>
            <w:tcW w:type="dxa" w:w="7344"/>
            <w:vAlign w:val="center"/>
            <w:shd w:fill="EEF3F8"/>
          </w:tcPr>
          <w:p>
            <w:pPr>
              <w:spacing w:after="0" w:before="0"/>
            </w:pPr>
            <w:r/>
            <w:r>
              <w:rPr>
                <w:rFonts w:ascii="Arial" w:hAnsi="Arial" w:eastAsia="Arial"/>
                <w:b w:val="0"/>
                <w:sz w:val="17"/>
              </w:rPr>
              <w:t>Guardrails-AI / LLM Guard · Presidio (PII) · python-dotenv</w:t>
            </w:r>
          </w:p>
        </w:tc>
      </w:tr>
      <w:tr>
        <w:trPr>
          <w:cantSplit/>
        </w:trPr>
        <w:tc>
          <w:tcPr>
            <w:tcW w:type="dxa" w:w="3312"/>
            <w:vAlign w:val="center"/>
          </w:tcPr>
          <w:p>
            <w:pPr>
              <w:spacing w:after="0" w:before="0"/>
            </w:pPr>
            <w:r/>
            <w:r>
              <w:rPr>
                <w:rFonts w:ascii="Arial" w:hAnsi="Arial" w:eastAsia="Arial"/>
                <w:b w:val="0"/>
                <w:sz w:val="17"/>
              </w:rPr>
              <w:t>Interface</w:t>
            </w:r>
          </w:p>
        </w:tc>
        <w:tc>
          <w:tcPr>
            <w:tcW w:type="dxa" w:w="7344"/>
            <w:vAlign w:val="center"/>
          </w:tcPr>
          <w:p>
            <w:pPr>
              <w:spacing w:after="0" w:before="0"/>
            </w:pPr>
            <w:r/>
            <w:r>
              <w:rPr>
                <w:rFonts w:ascii="Arial" w:hAnsi="Arial" w:eastAsia="Arial"/>
                <w:b w:val="0"/>
                <w:sz w:val="17"/>
              </w:rPr>
              <w:t>CLI (required) · FastAPI streaming (optional / bonus)</w:t>
            </w:r>
          </w:p>
        </w:tc>
      </w:tr>
    </w:tbl>
    <w:p>
      <w:pPr>
        <w:spacing w:after="0"/>
      </w:pPr>
    </w:p>
    <w:p>
      <w:pPr>
        <w:pStyle w:val="Heading1"/>
      </w:pPr>
      <w:r>
        <w:t>5. Acceptance Criteria &amp; Non-Functional Requirements</w:t>
      </w:r>
    </w:p>
    <w:p>
      <w:pPr>
        <w:pStyle w:val="Heading2"/>
      </w:pPr>
      <w:r>
        <w:t>5.1 Functional Acceptance Criteria</w:t>
      </w:r>
    </w:p>
    <w:tbl>
      <w:tblPr>
        <w:tblStyle w:val="TableGrid"/>
        <w:tblW w:type="auto" w:w="0"/>
        <w:jc w:val="center"/>
        <w:tblLook w:firstColumn="1" w:firstRow="1" w:lastColumn="0" w:lastRow="0" w:noHBand="0" w:noVBand="1" w:val="04A0"/>
      </w:tblPr>
      <w:tblGrid>
        <w:gridCol w:w="5184"/>
        <w:gridCol w:w="5184"/>
      </w:tblGrid>
      <w:tr>
        <w:trPr>
          <w:cantSplit/>
        </w:trPr>
        <w:tc>
          <w:tcPr>
            <w:tcW w:type="dxa" w:w="1152"/>
            <w:vAlign w:val="center"/>
            <w:shd w:fill="17365D"/>
          </w:tcPr>
          <w:p>
            <w:pPr>
              <w:spacing w:after="0" w:before="0"/>
            </w:pPr>
            <w:r/>
            <w:r>
              <w:rPr>
                <w:rFonts w:ascii="Arial" w:hAnsi="Arial" w:eastAsia="Arial"/>
                <w:b/>
                <w:color w:val="FFFFFF"/>
                <w:sz w:val="15"/>
              </w:rPr>
              <w:t>ID</w:t>
            </w:r>
          </w:p>
        </w:tc>
        <w:tc>
          <w:tcPr>
            <w:tcW w:type="dxa" w:w="9504"/>
            <w:vAlign w:val="center"/>
            <w:shd w:fill="17365D"/>
          </w:tcPr>
          <w:p>
            <w:pPr>
              <w:spacing w:after="0" w:before="0"/>
            </w:pPr>
            <w:r/>
            <w:r>
              <w:rPr>
                <w:rFonts w:ascii="Arial" w:hAnsi="Arial" w:eastAsia="Arial"/>
                <w:b/>
                <w:color w:val="FFFFFF"/>
                <w:sz w:val="15"/>
              </w:rPr>
              <w:t>Criterion</w:t>
            </w:r>
          </w:p>
        </w:tc>
      </w:tr>
      <w:tr>
        <w:trPr>
          <w:cantSplit/>
        </w:trPr>
        <w:tc>
          <w:tcPr>
            <w:tcW w:type="dxa" w:w="1152"/>
            <w:vAlign w:val="center"/>
          </w:tcPr>
          <w:p>
            <w:pPr>
              <w:spacing w:after="0" w:before="0"/>
            </w:pPr>
            <w:r/>
            <w:r>
              <w:rPr>
                <w:rFonts w:ascii="Arial" w:hAnsi="Arial" w:eastAsia="Arial"/>
                <w:b w:val="0"/>
                <w:sz w:val="15"/>
              </w:rPr>
              <w:t>AC-01</w:t>
            </w:r>
          </w:p>
        </w:tc>
        <w:tc>
          <w:tcPr>
            <w:tcW w:type="dxa" w:w="9504"/>
            <w:vAlign w:val="center"/>
          </w:tcPr>
          <w:p>
            <w:pPr>
              <w:spacing w:after="0" w:before="0"/>
            </w:pPr>
            <w:r/>
            <w:r>
              <w:rPr>
                <w:rFonts w:ascii="Arial" w:hAnsi="Arial" w:eastAsia="Arial"/>
                <w:b w:val="0"/>
                <w:sz w:val="15"/>
              </w:rPr>
              <w:t>Given a synthetic loan application, the copilot retrieves the applicable current lending policy and returns an eligibility determination that cites the policy rule it applied.</w:t>
            </w:r>
          </w:p>
        </w:tc>
      </w:tr>
      <w:tr>
        <w:trPr>
          <w:cantSplit/>
        </w:trPr>
        <w:tc>
          <w:tcPr>
            <w:tcW w:type="dxa" w:w="1152"/>
            <w:vAlign w:val="center"/>
            <w:shd w:fill="EEF3F8"/>
          </w:tcPr>
          <w:p>
            <w:pPr>
              <w:spacing w:after="0" w:before="0"/>
            </w:pPr>
            <w:r/>
            <w:r>
              <w:rPr>
                <w:rFonts w:ascii="Arial" w:hAnsi="Arial" w:eastAsia="Arial"/>
                <w:b w:val="0"/>
                <w:sz w:val="15"/>
              </w:rPr>
              <w:t>AC-02</w:t>
            </w:r>
          </w:p>
        </w:tc>
        <w:tc>
          <w:tcPr>
            <w:tcW w:type="dxa" w:w="9504"/>
            <w:vAlign w:val="center"/>
            <w:shd w:fill="EEF3F8"/>
          </w:tcPr>
          <w:p>
            <w:pPr>
              <w:spacing w:after="0" w:before="0"/>
            </w:pPr>
            <w:r/>
            <w:r>
              <w:rPr>
                <w:rFonts w:ascii="Arial" w:hAnsi="Arial" w:eastAsia="Arial"/>
                <w:b w:val="0"/>
                <w:sz w:val="15"/>
              </w:rPr>
              <w:t>The copilot computes affordability (DTI / disposable income) from the application data and flags any policy breach with the threshold it failed.</w:t>
            </w:r>
          </w:p>
        </w:tc>
      </w:tr>
      <w:tr>
        <w:trPr>
          <w:cantSplit/>
        </w:trPr>
        <w:tc>
          <w:tcPr>
            <w:tcW w:type="dxa" w:w="1152"/>
            <w:vAlign w:val="center"/>
          </w:tcPr>
          <w:p>
            <w:pPr>
              <w:spacing w:after="0" w:before="0"/>
            </w:pPr>
            <w:r/>
            <w:r>
              <w:rPr>
                <w:rFonts w:ascii="Arial" w:hAnsi="Arial" w:eastAsia="Arial"/>
                <w:b w:val="0"/>
                <w:sz w:val="15"/>
              </w:rPr>
              <w:t>AC-03</w:t>
            </w:r>
          </w:p>
        </w:tc>
        <w:tc>
          <w:tcPr>
            <w:tcW w:type="dxa" w:w="9504"/>
            <w:vAlign w:val="center"/>
          </w:tcPr>
          <w:p>
            <w:pPr>
              <w:spacing w:after="0" w:before="0"/>
            </w:pPr>
            <w:r/>
            <w:r>
              <w:rPr>
                <w:rFonts w:ascii="Arial" w:hAnsi="Arial" w:eastAsia="Arial"/>
                <w:b w:val="0"/>
                <w:sz w:val="15"/>
              </w:rPr>
              <w:t>The copilot produces a decision recommendation (approve / refer / decline) with a written rationale; a decline or high-value case is routed for human review rather than auto-decided.</w:t>
            </w:r>
          </w:p>
        </w:tc>
      </w:tr>
      <w:tr>
        <w:trPr>
          <w:cantSplit/>
        </w:trPr>
        <w:tc>
          <w:tcPr>
            <w:tcW w:type="dxa" w:w="1152"/>
            <w:vAlign w:val="center"/>
            <w:shd w:fill="EEF3F8"/>
          </w:tcPr>
          <w:p>
            <w:pPr>
              <w:spacing w:after="0" w:before="0"/>
            </w:pPr>
            <w:r/>
            <w:r>
              <w:rPr>
                <w:rFonts w:ascii="Arial" w:hAnsi="Arial" w:eastAsia="Arial"/>
                <w:b w:val="0"/>
                <w:sz w:val="15"/>
              </w:rPr>
              <w:t>AC-04</w:t>
            </w:r>
          </w:p>
        </w:tc>
        <w:tc>
          <w:tcPr>
            <w:tcW w:type="dxa" w:w="9504"/>
            <w:vAlign w:val="center"/>
            <w:shd w:fill="EEF3F8"/>
          </w:tcPr>
          <w:p>
            <w:pPr>
              <w:spacing w:after="0" w:before="0"/>
            </w:pPr>
            <w:r/>
            <w:r>
              <w:rPr>
                <w:rFonts w:ascii="Arial" w:hAnsi="Arial" w:eastAsia="Arial"/>
                <w:b w:val="0"/>
                <w:sz w:val="15"/>
              </w:rPr>
              <w:t>The copilot identifies each application's intent and handles it with the right capability; ambiguous or out-of-scope requests are clarified or escalated to a human, not mishandled.</w:t>
            </w:r>
          </w:p>
        </w:tc>
      </w:tr>
      <w:tr>
        <w:trPr>
          <w:cantSplit/>
        </w:trPr>
        <w:tc>
          <w:tcPr>
            <w:tcW w:type="dxa" w:w="1152"/>
            <w:vAlign w:val="center"/>
          </w:tcPr>
          <w:p>
            <w:pPr>
              <w:spacing w:after="0" w:before="0"/>
            </w:pPr>
            <w:r/>
            <w:r>
              <w:rPr>
                <w:rFonts w:ascii="Arial" w:hAnsi="Arial" w:eastAsia="Arial"/>
                <w:b w:val="0"/>
                <w:sz w:val="15"/>
              </w:rPr>
              <w:t>AC-05</w:t>
            </w:r>
          </w:p>
        </w:tc>
        <w:tc>
          <w:tcPr>
            <w:tcW w:type="dxa" w:w="9504"/>
            <w:vAlign w:val="center"/>
          </w:tcPr>
          <w:p>
            <w:pPr>
              <w:spacing w:after="0" w:before="0"/>
            </w:pPr>
            <w:r/>
            <w:r>
              <w:rPr>
                <w:rFonts w:ascii="Arial" w:hAnsi="Arial" w:eastAsia="Arial"/>
                <w:b w:val="0"/>
                <w:sz w:val="15"/>
              </w:rPr>
              <w:t>The copilot maintains context — it uses facts stated earlier in the interaction and recalls prior-session context on a return visit.</w:t>
            </w:r>
          </w:p>
        </w:tc>
      </w:tr>
      <w:tr>
        <w:trPr>
          <w:cantSplit/>
        </w:trPr>
        <w:tc>
          <w:tcPr>
            <w:tcW w:type="dxa" w:w="1152"/>
            <w:vAlign w:val="center"/>
            <w:shd w:fill="EEF3F8"/>
          </w:tcPr>
          <w:p>
            <w:pPr>
              <w:spacing w:after="0" w:before="0"/>
            </w:pPr>
            <w:r/>
            <w:r>
              <w:rPr>
                <w:rFonts w:ascii="Arial" w:hAnsi="Arial" w:eastAsia="Arial"/>
                <w:b w:val="0"/>
                <w:sz w:val="15"/>
              </w:rPr>
              <w:t>AC-06</w:t>
            </w:r>
          </w:p>
        </w:tc>
        <w:tc>
          <w:tcPr>
            <w:tcW w:type="dxa" w:w="9504"/>
            <w:vAlign w:val="center"/>
            <w:shd w:fill="EEF3F8"/>
          </w:tcPr>
          <w:p>
            <w:pPr>
              <w:spacing w:after="0" w:before="0"/>
            </w:pPr>
            <w:r/>
            <w:r>
              <w:rPr>
                <w:rFonts w:ascii="Arial" w:hAnsi="Arial" w:eastAsia="Arial"/>
                <w:b w:val="0"/>
                <w:sz w:val="15"/>
              </w:rPr>
              <w:t>The copilot handles untrusted applicant-supplied input safely: attempts to inject instructions or access another applicant's data are refused, and sensitive data (income, account numbers, credit identifiers) is never exposed in answers or logs.</w:t>
            </w:r>
          </w:p>
        </w:tc>
      </w:tr>
      <w:tr>
        <w:trPr>
          <w:cantSplit/>
        </w:trPr>
        <w:tc>
          <w:tcPr>
            <w:tcW w:type="dxa" w:w="1152"/>
            <w:vAlign w:val="center"/>
          </w:tcPr>
          <w:p>
            <w:pPr>
              <w:spacing w:after="0" w:before="0"/>
            </w:pPr>
            <w:r/>
            <w:r>
              <w:rPr>
                <w:rFonts w:ascii="Arial" w:hAnsi="Arial" w:eastAsia="Arial"/>
                <w:b w:val="0"/>
                <w:sz w:val="15"/>
              </w:rPr>
              <w:t>AC-07</w:t>
            </w:r>
          </w:p>
        </w:tc>
        <w:tc>
          <w:tcPr>
            <w:tcW w:type="dxa" w:w="9504"/>
            <w:vAlign w:val="center"/>
          </w:tcPr>
          <w:p>
            <w:pPr>
              <w:spacing w:after="0" w:before="0"/>
            </w:pPr>
            <w:r/>
            <w:r>
              <w:rPr>
                <w:rFonts w:ascii="Arial" w:hAnsi="Arial" w:eastAsia="Arial"/>
                <w:b w:val="0"/>
                <w:sz w:val="15"/>
              </w:rPr>
              <w:t>A machine-generated tool-invocation log (logs/tool_calls.jsonl) written by committed logging middleware; tool names reconcile with the agent/MCP code.</w:t>
            </w:r>
          </w:p>
        </w:tc>
      </w:tr>
      <w:tr>
        <w:trPr>
          <w:cantSplit/>
        </w:trPr>
        <w:tc>
          <w:tcPr>
            <w:tcW w:type="dxa" w:w="1152"/>
            <w:vAlign w:val="center"/>
            <w:shd w:fill="EEF3F8"/>
          </w:tcPr>
          <w:p>
            <w:pPr>
              <w:spacing w:after="0" w:before="0"/>
            </w:pPr>
            <w:r/>
            <w:r>
              <w:rPr>
                <w:rFonts w:ascii="Arial" w:hAnsi="Arial" w:eastAsia="Arial"/>
                <w:b w:val="0"/>
                <w:sz w:val="15"/>
              </w:rPr>
              <w:t>AC-08</w:t>
            </w:r>
          </w:p>
        </w:tc>
        <w:tc>
          <w:tcPr>
            <w:tcW w:type="dxa" w:w="9504"/>
            <w:vAlign w:val="center"/>
            <w:shd w:fill="EEF3F8"/>
          </w:tcPr>
          <w:p>
            <w:pPr>
              <w:spacing w:after="0" w:before="0"/>
            </w:pPr>
            <w:r/>
            <w:r>
              <w:rPr>
                <w:rFonts w:ascii="Arial" w:hAnsi="Arial" w:eastAsia="Arial"/>
                <w:b w:val="0"/>
                <w:sz w:val="15"/>
              </w:rPr>
              <w:t>docs/failure-analysis.md documents ≥ 3 real failures from your own runs, each citing the Phoenix run_id + span_id (or a tool-log record) that shows it, plus root cause and fix.</w:t>
            </w:r>
          </w:p>
        </w:tc>
      </w:tr>
      <w:tr>
        <w:trPr>
          <w:cantSplit/>
        </w:trPr>
        <w:tc>
          <w:tcPr>
            <w:tcW w:type="dxa" w:w="1152"/>
            <w:vAlign w:val="center"/>
          </w:tcPr>
          <w:p>
            <w:pPr>
              <w:spacing w:after="0" w:before="0"/>
            </w:pPr>
            <w:r/>
            <w:r>
              <w:rPr>
                <w:rFonts w:ascii="Arial" w:hAnsi="Arial" w:eastAsia="Arial"/>
                <w:b w:val="0"/>
                <w:sz w:val="15"/>
              </w:rPr>
              <w:t>AC-09</w:t>
            </w:r>
          </w:p>
        </w:tc>
        <w:tc>
          <w:tcPr>
            <w:tcW w:type="dxa" w:w="9504"/>
            <w:vAlign w:val="center"/>
          </w:tcPr>
          <w:p>
            <w:pPr>
              <w:spacing w:after="0" w:before="0"/>
            </w:pPr>
            <w:r/>
            <w:r>
              <w:rPr>
                <w:rFonts w:ascii="Arial" w:hAnsi="Arial" w:eastAsia="Arial"/>
                <w:b w:val="0"/>
                <w:sz w:val="15"/>
              </w:rPr>
              <w:t>A Phoenix-derived golden-signals report (latency incl. thinking/acting/tool, tokens, cost estimate, plus accuracy + hallucination rate from the eval) and a cost/latency dashboard (Phoenix screenshot + underlying data file).</w:t>
            </w:r>
          </w:p>
        </w:tc>
      </w:tr>
      <w:tr>
        <w:trPr>
          <w:cantSplit/>
        </w:trPr>
        <w:tc>
          <w:tcPr>
            <w:tcW w:type="dxa" w:w="1152"/>
            <w:vAlign w:val="center"/>
            <w:shd w:fill="EEF3F8"/>
          </w:tcPr>
          <w:p>
            <w:pPr>
              <w:spacing w:after="0" w:before="0"/>
            </w:pPr>
            <w:r/>
            <w:r>
              <w:rPr>
                <w:rFonts w:ascii="Arial" w:hAnsi="Arial" w:eastAsia="Arial"/>
                <w:b w:val="0"/>
                <w:sz w:val="15"/>
              </w:rPr>
              <w:t>AC-10</w:t>
            </w:r>
          </w:p>
        </w:tc>
        <w:tc>
          <w:tcPr>
            <w:tcW w:type="dxa" w:w="9504"/>
            <w:vAlign w:val="center"/>
            <w:shd w:fill="EEF3F8"/>
          </w:tcPr>
          <w:p>
            <w:pPr>
              <w:spacing w:after="0" w:before="0"/>
            </w:pPr>
            <w:r/>
            <w:r>
              <w:rPr>
                <w:rFonts w:ascii="Arial" w:hAnsi="Arial" w:eastAsia="Arial"/>
                <w:b w:val="0"/>
                <w:sz w:val="15"/>
              </w:rPr>
              <w:t>Input/output guardrails wired into the agent's I/O path, and a machine-generated audit trail of agent actions (logs/agent_actions.jsonl).</w:t>
            </w:r>
          </w:p>
        </w:tc>
      </w:tr>
      <w:tr>
        <w:trPr>
          <w:cantSplit/>
        </w:trPr>
        <w:tc>
          <w:tcPr>
            <w:tcW w:type="dxa" w:w="1152"/>
            <w:vAlign w:val="center"/>
          </w:tcPr>
          <w:p>
            <w:pPr>
              <w:spacing w:after="0" w:before="0"/>
            </w:pPr>
            <w:r/>
            <w:r>
              <w:rPr>
                <w:rFonts w:ascii="Arial" w:hAnsi="Arial" w:eastAsia="Arial"/>
                <w:b w:val="0"/>
                <w:sz w:val="15"/>
              </w:rPr>
              <w:t>AC-11</w:t>
            </w:r>
          </w:p>
        </w:tc>
        <w:tc>
          <w:tcPr>
            <w:tcW w:type="dxa" w:w="9504"/>
            <w:vAlign w:val="center"/>
          </w:tcPr>
          <w:p>
            <w:pPr>
              <w:spacing w:after="0" w:before="0"/>
            </w:pPr>
            <w:r/>
            <w:r>
              <w:rPr>
                <w:rFonts w:ascii="Arial" w:hAnsi="Arial" w:eastAsia="Arial"/>
                <w:b w:val="0"/>
                <w:sz w:val="15"/>
              </w:rPr>
              <w:t>A governance pack: risk register, model/system card, compliance mapping (EU AI Act / NIST AI RMF / DPDP) and output-risk classification — each mitigation/claim citing a committed control.</w:t>
            </w:r>
          </w:p>
        </w:tc>
      </w:tr>
      <w:tr>
        <w:trPr>
          <w:cantSplit/>
        </w:trPr>
        <w:tc>
          <w:tcPr>
            <w:tcW w:type="dxa" w:w="1152"/>
            <w:vAlign w:val="center"/>
            <w:shd w:fill="EEF3F8"/>
          </w:tcPr>
          <w:p>
            <w:pPr>
              <w:spacing w:after="0" w:before="0"/>
            </w:pPr>
            <w:r/>
            <w:r>
              <w:rPr>
                <w:rFonts w:ascii="Arial" w:hAnsi="Arial" w:eastAsia="Arial"/>
                <w:b w:val="0"/>
                <w:sz w:val="15"/>
              </w:rPr>
              <w:t>AC-12</w:t>
            </w:r>
          </w:p>
        </w:tc>
        <w:tc>
          <w:tcPr>
            <w:tcW w:type="dxa" w:w="9504"/>
            <w:vAlign w:val="center"/>
            <w:shd w:fill="EEF3F8"/>
          </w:tcPr>
          <w:p>
            <w:pPr>
              <w:spacing w:after="0" w:before="0"/>
            </w:pPr>
            <w:r/>
            <w:r>
              <w:rPr>
                <w:rFonts w:ascii="Arial" w:hAnsi="Arial" w:eastAsia="Arial"/>
                <w:b w:val="0"/>
                <w:sz w:val="15"/>
              </w:rPr>
              <w:t>Agent evaluation: a DeepEval (or equivalent) report over a golden set (hallucination + faithfulness/relevance), and agent tests — routing-logic, loop/cascade guard, and tool-contract.</w:t>
            </w:r>
          </w:p>
        </w:tc>
      </w:tr>
    </w:tbl>
    <w:p>
      <w:pPr>
        <w:spacing w:after="0"/>
      </w:pPr>
    </w:p>
    <w:p>
      <w:pPr>
        <w:pStyle w:val="Heading2"/>
      </w:pPr>
      <w:r>
        <w:t>5.2 Non-Functional Requirements</w:t>
      </w:r>
    </w:p>
    <w:tbl>
      <w:tblPr>
        <w:tblStyle w:val="TableGrid"/>
        <w:tblW w:type="auto" w:w="0"/>
        <w:jc w:val="center"/>
        <w:tblLook w:firstColumn="1" w:firstRow="1" w:lastColumn="0" w:lastRow="0" w:noHBand="0" w:noVBand="1" w:val="04A0"/>
      </w:tblPr>
      <w:tblGrid>
        <w:gridCol w:w="5184"/>
        <w:gridCol w:w="5184"/>
      </w:tblGrid>
      <w:tr>
        <w:trPr>
          <w:cantSplit/>
        </w:trPr>
        <w:tc>
          <w:tcPr>
            <w:tcW w:type="dxa" w:w="1152"/>
            <w:vAlign w:val="center"/>
            <w:shd w:fill="17365D"/>
          </w:tcPr>
          <w:p>
            <w:pPr>
              <w:spacing w:after="0" w:before="0"/>
            </w:pPr>
            <w:r/>
            <w:r>
              <w:rPr>
                <w:rFonts w:ascii="Arial" w:hAnsi="Arial" w:eastAsia="Arial"/>
                <w:b/>
                <w:color w:val="FFFFFF"/>
                <w:sz w:val="16"/>
              </w:rPr>
              <w:t>ID</w:t>
            </w:r>
          </w:p>
        </w:tc>
        <w:tc>
          <w:tcPr>
            <w:tcW w:type="dxa" w:w="9504"/>
            <w:vAlign w:val="center"/>
            <w:shd w:fill="17365D"/>
          </w:tcPr>
          <w:p>
            <w:pPr>
              <w:spacing w:after="0" w:before="0"/>
            </w:pPr>
            <w:r/>
            <w:r>
              <w:rPr>
                <w:rFonts w:ascii="Arial" w:hAnsi="Arial" w:eastAsia="Arial"/>
                <w:b/>
                <w:color w:val="FFFFFF"/>
                <w:sz w:val="16"/>
              </w:rPr>
              <w:t>Requirement</w:t>
            </w:r>
          </w:p>
        </w:tc>
      </w:tr>
      <w:tr>
        <w:trPr>
          <w:cantSplit/>
        </w:trPr>
        <w:tc>
          <w:tcPr>
            <w:tcW w:type="dxa" w:w="1152"/>
            <w:vAlign w:val="center"/>
          </w:tcPr>
          <w:p>
            <w:pPr>
              <w:spacing w:after="0" w:before="0"/>
            </w:pPr>
            <w:r/>
            <w:r>
              <w:rPr>
                <w:rFonts w:ascii="Arial" w:hAnsi="Arial" w:eastAsia="Arial"/>
                <w:b w:val="0"/>
                <w:sz w:val="16"/>
              </w:rPr>
              <w:t>NFR-01</w:t>
            </w:r>
          </w:p>
        </w:tc>
        <w:tc>
          <w:tcPr>
            <w:tcW w:type="dxa" w:w="9504"/>
            <w:vAlign w:val="center"/>
          </w:tcPr>
          <w:p>
            <w:pPr>
              <w:spacing w:after="0" w:before="0"/>
            </w:pPr>
            <w:r/>
            <w:r>
              <w:rPr>
                <w:rFonts w:ascii="Arial" w:hAnsi="Arial" w:eastAsia="Arial"/>
                <w:b w:val="0"/>
                <w:sz w:val="16"/>
              </w:rPr>
              <w:t>No secrets/keys committed; env-var config with a committed .env.example and a .gitignore covering .env.</w:t>
            </w:r>
          </w:p>
        </w:tc>
      </w:tr>
      <w:tr>
        <w:trPr>
          <w:cantSplit/>
        </w:trPr>
        <w:tc>
          <w:tcPr>
            <w:tcW w:type="dxa" w:w="1152"/>
            <w:vAlign w:val="center"/>
            <w:shd w:fill="EEF3F8"/>
          </w:tcPr>
          <w:p>
            <w:pPr>
              <w:spacing w:after="0" w:before="0"/>
            </w:pPr>
            <w:r/>
            <w:r>
              <w:rPr>
                <w:rFonts w:ascii="Arial" w:hAnsi="Arial" w:eastAsia="Arial"/>
                <w:b w:val="0"/>
                <w:sz w:val="16"/>
              </w:rPr>
              <w:t>NFR-02</w:t>
            </w:r>
          </w:p>
        </w:tc>
        <w:tc>
          <w:tcPr>
            <w:tcW w:type="dxa" w:w="9504"/>
            <w:vAlign w:val="center"/>
            <w:shd w:fill="EEF3F8"/>
          </w:tcPr>
          <w:p>
            <w:pPr>
              <w:spacing w:after="0" w:before="0"/>
            </w:pPr>
            <w:r/>
            <w:r>
              <w:rPr>
                <w:rFonts w:ascii="Arial" w:hAnsi="Arial" w:eastAsia="Arial"/>
                <w:b w:val="0"/>
                <w:sz w:val="16"/>
              </w:rPr>
              <w:t>Single documented command runs the copilot and a second regenerates the Phoenix traces and the evaluation; committed sample inputs.</w:t>
            </w:r>
          </w:p>
        </w:tc>
      </w:tr>
      <w:tr>
        <w:trPr>
          <w:cantSplit/>
        </w:trPr>
        <w:tc>
          <w:tcPr>
            <w:tcW w:type="dxa" w:w="1152"/>
            <w:vAlign w:val="center"/>
          </w:tcPr>
          <w:p>
            <w:pPr>
              <w:spacing w:after="0" w:before="0"/>
            </w:pPr>
            <w:r/>
            <w:r>
              <w:rPr>
                <w:rFonts w:ascii="Arial" w:hAnsi="Arial" w:eastAsia="Arial"/>
                <w:b w:val="0"/>
                <w:sz w:val="16"/>
              </w:rPr>
              <w:t>NFR-03</w:t>
            </w:r>
          </w:p>
        </w:tc>
        <w:tc>
          <w:tcPr>
            <w:tcW w:type="dxa" w:w="9504"/>
            <w:vAlign w:val="center"/>
          </w:tcPr>
          <w:p>
            <w:pPr>
              <w:spacing w:after="0" w:before="0"/>
            </w:pPr>
            <w:r/>
            <w:r>
              <w:rPr>
                <w:rFonts w:ascii="Arial" w:hAnsi="Arial" w:eastAsia="Arial"/>
                <w:b w:val="0"/>
                <w:sz w:val="16"/>
              </w:rPr>
              <w:t>Untrusted free-text applicant-supplied content is quarantined and never treated as instructions.</w:t>
            </w:r>
          </w:p>
        </w:tc>
      </w:tr>
      <w:tr>
        <w:trPr>
          <w:cantSplit/>
        </w:trPr>
        <w:tc>
          <w:tcPr>
            <w:tcW w:type="dxa" w:w="1152"/>
            <w:vAlign w:val="center"/>
            <w:shd w:fill="EEF3F8"/>
          </w:tcPr>
          <w:p>
            <w:pPr>
              <w:spacing w:after="0" w:before="0"/>
            </w:pPr>
            <w:r/>
            <w:r>
              <w:rPr>
                <w:rFonts w:ascii="Arial" w:hAnsi="Arial" w:eastAsia="Arial"/>
                <w:b w:val="0"/>
                <w:sz w:val="16"/>
              </w:rPr>
              <w:t>NFR-04</w:t>
            </w:r>
          </w:p>
        </w:tc>
        <w:tc>
          <w:tcPr>
            <w:tcW w:type="dxa" w:w="9504"/>
            <w:vAlign w:val="center"/>
            <w:shd w:fill="EEF3F8"/>
          </w:tcPr>
          <w:p>
            <w:pPr>
              <w:spacing w:after="0" w:before="0"/>
            </w:pPr>
            <w:r/>
            <w:r>
              <w:rPr>
                <w:rFonts w:ascii="Arial" w:hAnsi="Arial" w:eastAsia="Arial"/>
                <w:b w:val="0"/>
                <w:sz w:val="16"/>
              </w:rPr>
              <w:t>Agent pipeline uses async where it calls tools/models; graceful degradation on tool/model failure (timeouts, retries, exit conditions).</w:t>
            </w:r>
          </w:p>
        </w:tc>
      </w:tr>
      <w:tr>
        <w:trPr>
          <w:cantSplit/>
        </w:trPr>
        <w:tc>
          <w:tcPr>
            <w:tcW w:type="dxa" w:w="1152"/>
            <w:vAlign w:val="center"/>
          </w:tcPr>
          <w:p>
            <w:pPr>
              <w:spacing w:after="0" w:before="0"/>
            </w:pPr>
            <w:r/>
            <w:r>
              <w:rPr>
                <w:rFonts w:ascii="Arial" w:hAnsi="Arial" w:eastAsia="Arial"/>
                <w:b w:val="0"/>
                <w:sz w:val="16"/>
              </w:rPr>
              <w:t>NFR-05</w:t>
            </w:r>
          </w:p>
        </w:tc>
        <w:tc>
          <w:tcPr>
            <w:tcW w:type="dxa" w:w="9504"/>
            <w:vAlign w:val="center"/>
          </w:tcPr>
          <w:p>
            <w:pPr>
              <w:spacing w:after="0" w:before="0"/>
            </w:pPr>
            <w:r/>
            <w:r>
              <w:rPr>
                <w:rFonts w:ascii="Arial" w:hAnsi="Arial" w:eastAsia="Arial"/>
                <w:b w:val="0"/>
                <w:sz w:val="16"/>
              </w:rPr>
              <w:t>All data synthetic; income, account numbers, credit identifiers masked and never logged in plaintext.</w:t>
            </w:r>
          </w:p>
        </w:tc>
      </w:tr>
      <w:tr>
        <w:trPr>
          <w:cantSplit/>
        </w:trPr>
        <w:tc>
          <w:tcPr>
            <w:tcW w:type="dxa" w:w="1152"/>
            <w:vAlign w:val="center"/>
            <w:shd w:fill="EEF3F8"/>
          </w:tcPr>
          <w:p>
            <w:pPr>
              <w:spacing w:after="0" w:before="0"/>
            </w:pPr>
            <w:r/>
            <w:r>
              <w:rPr>
                <w:rFonts w:ascii="Arial" w:hAnsi="Arial" w:eastAsia="Arial"/>
                <w:b w:val="0"/>
                <w:sz w:val="16"/>
              </w:rPr>
              <w:t>NFR-06</w:t>
            </w:r>
          </w:p>
        </w:tc>
        <w:tc>
          <w:tcPr>
            <w:tcW w:type="dxa" w:w="9504"/>
            <w:vAlign w:val="center"/>
            <w:shd w:fill="EEF3F8"/>
          </w:tcPr>
          <w:p>
            <w:pPr>
              <w:spacing w:after="0" w:before="0"/>
            </w:pPr>
            <w:r/>
            <w:r>
              <w:rPr>
                <w:rFonts w:ascii="Arial" w:hAnsi="Arial" w:eastAsia="Arial"/>
                <w:b w:val="0"/>
                <w:sz w:val="16"/>
              </w:rPr>
              <w:t>Evidence artifacts (traces, logs, reports) are machine-generated by committed code; the code that produced each is committed alongside it.</w:t>
            </w:r>
          </w:p>
        </w:tc>
      </w:tr>
    </w:tbl>
    <w:p>
      <w:pPr>
        <w:spacing w:after="0"/>
      </w:pPr>
    </w:p>
    <w:p>
      <w:pPr>
        <w:pStyle w:val="Heading1"/>
      </w:pPr>
      <w:r>
        <w:t>6. Functional Scope</w:t>
      </w:r>
    </w:p>
    <w:p>
      <w:pPr>
        <w:pStyle w:val="Heading2"/>
      </w:pPr>
      <w:r>
        <w:t>6.1 In Scope</w:t>
      </w:r>
    </w:p>
    <w:p>
      <w:pPr>
        <w:pStyle w:val="ListBullet"/>
        <w:spacing w:after="40"/>
      </w:pPr>
      <w:r>
        <w:t>The LangGraph multi-agent copilot (foundation) plus its full observability, cost-governance, security, governance and evaluation surface.</w:t>
      </w:r>
    </w:p>
    <w:p>
      <w:pPr>
        <w:pStyle w:val="ListBullet"/>
        <w:spacing w:after="40"/>
      </w:pPr>
      <w:r>
        <w:t>Arize Phoenix tracing, golden-signals + cost/latency governance, guardrails + audit + secrets hygiene, governance/compliance docs, and agent-level evaluation &amp; tests.</w:t>
      </w:r>
    </w:p>
    <w:p>
      <w:pPr>
        <w:pStyle w:val="ListBullet"/>
        <w:spacing w:after="40"/>
      </w:pPr>
      <w:r>
        <w:t>A CLI to drive applications through the graph and to regenerate traces and the evaluation.</w:t>
      </w:r>
    </w:p>
    <w:p>
      <w:pPr>
        <w:pStyle w:val="Heading2"/>
      </w:pPr>
      <w:r>
        <w:t>6.2 Out of Scope (this cut)</w:t>
      </w:r>
    </w:p>
    <w:p>
      <w:pPr>
        <w:pStyle w:val="ListBullet"/>
        <w:spacing w:after="40"/>
      </w:pPr>
      <w:r>
        <w:t>Containerized / cloud deployment (Docker, Rancher, k8s) — deferred; do not spend hackathon time on it.</w:t>
      </w:r>
    </w:p>
    <w:p>
      <w:pPr>
        <w:pStyle w:val="ListBullet"/>
        <w:spacing w:after="40"/>
      </w:pPr>
      <w:r>
        <w:t>Real credit-bureau or core-banking integrations — use synthetic application and policy data.</w:t>
      </w:r>
    </w:p>
    <w:p>
      <w:pPr>
        <w:pStyle w:val="ListBullet"/>
        <w:spacing w:after="40"/>
      </w:pPr>
      <w:r>
        <w:t>Front-end visual polish; generic unit-test volume for its own sake.</w:t>
      </w:r>
    </w:p>
    <w:p>
      <w:pPr>
        <w:pStyle w:val="ListBullet"/>
        <w:spacing w:after="40"/>
      </w:pPr>
      <w:r>
        <w:t>Advanced OAuth flows and live secrets-rotation infrastructure (document the approach instead).</w:t>
      </w:r>
    </w:p>
    <w:p>
      <w:pPr>
        <w:pStyle w:val="Heading1"/>
      </w:pPr>
      <w:r>
        <w:t>7. Required Artifacts — What to Commit</w:t>
      </w:r>
    </w:p>
    <w:p>
      <w:pPr>
        <w:spacing w:after="100"/>
      </w:pPr>
      <w:r>
        <w:rPr>
          <w:i w:val="0"/>
        </w:rPr>
        <w:t>This is the checklist your submission is scored against. Each artifact must be present at (or near) the path shown and contain what is listed. Remember the Evidence-in-Repo and Citation-Resolves rules: outputs must be produced by committed code, and every citation must resolve to a committed artifact.</w:t>
      </w:r>
    </w:p>
    <w:p>
      <w:pPr>
        <w:pStyle w:val="Heading2"/>
      </w:pPr>
      <w:r>
        <w:t>7.1 Agentic System — Foundation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5"/>
              </w:rPr>
              <w:t>Area</w:t>
            </w:r>
          </w:p>
        </w:tc>
        <w:tc>
          <w:tcPr>
            <w:tcW w:type="dxa" w:w="3600"/>
            <w:vAlign w:val="center"/>
            <w:shd w:fill="17365D"/>
          </w:tcPr>
          <w:p>
            <w:pPr>
              <w:spacing w:after="0" w:before="0"/>
            </w:pPr>
            <w:r/>
            <w:r>
              <w:rPr>
                <w:rFonts w:ascii="Arial" w:hAnsi="Arial" w:eastAsia="Arial"/>
                <w:b/>
                <w:color w:val="FFFFFF"/>
                <w:sz w:val="15"/>
              </w:rPr>
              <w:t>Artifact (path)</w:t>
            </w:r>
          </w:p>
        </w:tc>
        <w:tc>
          <w:tcPr>
            <w:tcW w:type="dxa" w:w="4896"/>
            <w:vAlign w:val="center"/>
            <w:shd w:fill="17365D"/>
          </w:tcPr>
          <w:p>
            <w:pPr>
              <w:spacing w:after="0" w:before="0"/>
            </w:pPr>
            <w:r/>
            <w:r>
              <w:rPr>
                <w:rFonts w:ascii="Arial" w:hAnsi="Arial" w:eastAsia="Arial"/>
                <w:b/>
                <w:color w:val="FFFFFF"/>
                <w:sz w:val="15"/>
              </w:rPr>
              <w:t>Must contain</w:t>
            </w:r>
          </w:p>
        </w:tc>
      </w:tr>
      <w:tr>
        <w:trPr>
          <w:cantSplit/>
        </w:trPr>
        <w:tc>
          <w:tcPr>
            <w:tcW w:type="dxa" w:w="2160"/>
            <w:vAlign w:val="center"/>
          </w:tcPr>
          <w:p>
            <w:pPr>
              <w:spacing w:after="0" w:before="0"/>
            </w:pPr>
            <w:r/>
            <w:r>
              <w:rPr>
                <w:rFonts w:ascii="Arial" w:hAnsi="Arial" w:eastAsia="Arial"/>
                <w:b w:val="0"/>
                <w:sz w:val="15"/>
              </w:rPr>
              <w:t>LangGraph graph</w:t>
            </w:r>
          </w:p>
        </w:tc>
        <w:tc>
          <w:tcPr>
            <w:tcW w:type="dxa" w:w="3600"/>
            <w:vAlign w:val="center"/>
          </w:tcPr>
          <w:p>
            <w:pPr>
              <w:spacing w:after="0" w:before="0"/>
            </w:pPr>
            <w:r/>
            <w:r>
              <w:rPr>
                <w:rFonts w:ascii="Arial" w:hAnsi="Arial" w:eastAsia="Arial"/>
                <w:b w:val="0"/>
                <w:sz w:val="15"/>
              </w:rPr>
              <w:t>src/graph.py</w:t>
            </w:r>
          </w:p>
        </w:tc>
        <w:tc>
          <w:tcPr>
            <w:tcW w:type="dxa" w:w="4896"/>
            <w:vAlign w:val="center"/>
          </w:tcPr>
          <w:p>
            <w:pPr>
              <w:spacing w:after="0" w:before="0"/>
            </w:pPr>
            <w:r/>
            <w:r>
              <w:rPr>
                <w:rFonts w:ascii="Arial" w:hAnsi="Arial" w:eastAsia="Arial"/>
                <w:b w:val="0"/>
                <w:sz w:val="15"/>
              </w:rPr>
              <w:t>Typed state; supervisor + ≥3 worker agents; conditional edges; checkpointer; structured output at node boundaries</w:t>
            </w:r>
          </w:p>
        </w:tc>
      </w:tr>
      <w:tr>
        <w:trPr>
          <w:cantSplit/>
        </w:trPr>
        <w:tc>
          <w:tcPr>
            <w:tcW w:type="dxa" w:w="2160"/>
            <w:vAlign w:val="center"/>
            <w:shd w:fill="EEF3F8"/>
          </w:tcPr>
          <w:p>
            <w:pPr>
              <w:spacing w:after="0" w:before="0"/>
            </w:pPr>
            <w:r/>
            <w:r>
              <w:rPr>
                <w:rFonts w:ascii="Arial" w:hAnsi="Arial" w:eastAsia="Arial"/>
                <w:b w:val="0"/>
                <w:sz w:val="15"/>
              </w:rPr>
              <w:t>MCP server</w:t>
            </w:r>
          </w:p>
        </w:tc>
        <w:tc>
          <w:tcPr>
            <w:tcW w:type="dxa" w:w="3600"/>
            <w:vAlign w:val="center"/>
            <w:shd w:fill="EEF3F8"/>
          </w:tcPr>
          <w:p>
            <w:pPr>
              <w:spacing w:after="0" w:before="0"/>
            </w:pPr>
            <w:r/>
            <w:r>
              <w:rPr>
                <w:rFonts w:ascii="Arial" w:hAnsi="Arial" w:eastAsia="Arial"/>
                <w:b w:val="0"/>
                <w:sz w:val="15"/>
              </w:rPr>
              <w:t>mcp_server/ +</w:t>
              <w:br/>
              <w:t>logs/mcp_transcript.jsonl</w:t>
            </w:r>
          </w:p>
        </w:tc>
        <w:tc>
          <w:tcPr>
            <w:tcW w:type="dxa" w:w="4896"/>
            <w:vAlign w:val="center"/>
            <w:shd w:fill="EEF3F8"/>
          </w:tcPr>
          <w:p>
            <w:pPr>
              <w:spacing w:after="0" w:before="0"/>
            </w:pPr>
            <w:r/>
            <w:r>
              <w:rPr>
                <w:rFonts w:ascii="Arial" w:hAnsi="Arial" w:eastAsia="Arial"/>
                <w:b w:val="0"/>
                <w:sz w:val="15"/>
              </w:rPr>
              <w:t>≥2 tools + 1 resource; consumed via langchain-mcp-adapters; committed tool-call transcript</w:t>
            </w:r>
          </w:p>
        </w:tc>
      </w:tr>
      <w:tr>
        <w:trPr>
          <w:cantSplit/>
        </w:trPr>
        <w:tc>
          <w:tcPr>
            <w:tcW w:type="dxa" w:w="2160"/>
            <w:vAlign w:val="center"/>
          </w:tcPr>
          <w:p>
            <w:pPr>
              <w:spacing w:after="0" w:before="0"/>
            </w:pPr>
            <w:r/>
            <w:r>
              <w:rPr>
                <w:rFonts w:ascii="Arial" w:hAnsi="Arial" w:eastAsia="Arial"/>
                <w:b w:val="0"/>
                <w:sz w:val="15"/>
              </w:rPr>
              <w:t>Context engineering</w:t>
            </w:r>
          </w:p>
        </w:tc>
        <w:tc>
          <w:tcPr>
            <w:tcW w:type="dxa" w:w="3600"/>
            <w:vAlign w:val="center"/>
          </w:tcPr>
          <w:p>
            <w:pPr>
              <w:spacing w:after="0" w:before="0"/>
            </w:pPr>
            <w:r/>
            <w:r>
              <w:rPr>
                <w:rFonts w:ascii="Arial" w:hAnsi="Arial" w:eastAsia="Arial"/>
                <w:b w:val="0"/>
                <w:sz w:val="15"/>
              </w:rPr>
              <w:t>src/context/</w:t>
            </w:r>
          </w:p>
        </w:tc>
        <w:tc>
          <w:tcPr>
            <w:tcW w:type="dxa" w:w="4896"/>
            <w:vAlign w:val="center"/>
          </w:tcPr>
          <w:p>
            <w:pPr>
              <w:spacing w:after="0" w:before="0"/>
            </w:pPr>
            <w:r/>
            <w:r>
              <w:rPr>
                <w:rFonts w:ascii="Arial" w:hAnsi="Arial" w:eastAsia="Arial"/>
                <w:b w:val="0"/>
                <w:sz w:val="15"/>
              </w:rPr>
              <w:t>write/select/compress/isolate; summarization middleware; quarantine of untrusted text</w:t>
            </w:r>
          </w:p>
        </w:tc>
      </w:tr>
      <w:tr>
        <w:trPr>
          <w:cantSplit/>
        </w:trPr>
        <w:tc>
          <w:tcPr>
            <w:tcW w:type="dxa" w:w="2160"/>
            <w:vAlign w:val="center"/>
            <w:shd w:fill="EEF3F8"/>
          </w:tcPr>
          <w:p>
            <w:pPr>
              <w:spacing w:after="0" w:before="0"/>
            </w:pPr>
            <w:r/>
            <w:r>
              <w:rPr>
                <w:rFonts w:ascii="Arial" w:hAnsi="Arial" w:eastAsia="Arial"/>
                <w:b w:val="0"/>
                <w:sz w:val="15"/>
              </w:rPr>
              <w:t>Tiered memory</w:t>
            </w:r>
          </w:p>
        </w:tc>
        <w:tc>
          <w:tcPr>
            <w:tcW w:type="dxa" w:w="3600"/>
            <w:vAlign w:val="center"/>
            <w:shd w:fill="EEF3F8"/>
          </w:tcPr>
          <w:p>
            <w:pPr>
              <w:spacing w:after="0" w:before="0"/>
            </w:pPr>
            <w:r/>
            <w:r>
              <w:rPr>
                <w:rFonts w:ascii="Arial" w:hAnsi="Arial" w:eastAsia="Arial"/>
                <w:b w:val="0"/>
                <w:sz w:val="15"/>
              </w:rPr>
              <w:t>src/memory/ +</w:t>
              <w:br/>
              <w:t>tests/test_memory_persistence.py + logs/memory_test.log</w:t>
            </w:r>
          </w:p>
        </w:tc>
        <w:tc>
          <w:tcPr>
            <w:tcW w:type="dxa" w:w="4896"/>
            <w:vAlign w:val="center"/>
            <w:shd w:fill="EEF3F8"/>
          </w:tcPr>
          <w:p>
            <w:pPr>
              <w:spacing w:after="0" w:before="0"/>
            </w:pPr>
            <w:r/>
            <w:r>
              <w:rPr>
                <w:rFonts w:ascii="Arial" w:hAnsi="Arial" w:eastAsia="Arial"/>
                <w:b w:val="0"/>
                <w:sz w:val="15"/>
              </w:rPr>
              <w:t>short + long/semantic memory; cross-session recall test with committed output log</w:t>
            </w:r>
          </w:p>
        </w:tc>
      </w:tr>
      <w:tr>
        <w:trPr>
          <w:cantSplit/>
        </w:trPr>
        <w:tc>
          <w:tcPr>
            <w:tcW w:type="dxa" w:w="2160"/>
            <w:vAlign w:val="center"/>
          </w:tcPr>
          <w:p>
            <w:pPr>
              <w:spacing w:after="0" w:before="0"/>
            </w:pPr>
            <w:r/>
            <w:r>
              <w:rPr>
                <w:rFonts w:ascii="Arial" w:hAnsi="Arial" w:eastAsia="Arial"/>
                <w:b w:val="0"/>
                <w:sz w:val="15"/>
              </w:rPr>
              <w:t>Agentic-RAG tool</w:t>
            </w:r>
          </w:p>
        </w:tc>
        <w:tc>
          <w:tcPr>
            <w:tcW w:type="dxa" w:w="3600"/>
            <w:vAlign w:val="center"/>
          </w:tcPr>
          <w:p>
            <w:pPr>
              <w:spacing w:after="0" w:before="0"/>
            </w:pPr>
            <w:r/>
            <w:r>
              <w:rPr>
                <w:rFonts w:ascii="Arial" w:hAnsi="Arial" w:eastAsia="Arial"/>
                <w:b w:val="0"/>
                <w:sz w:val="15"/>
              </w:rPr>
              <w:t>src/tools/rag_tool.py +</w:t>
              <w:br/>
              <w:t>data/policy_corpus/</w:t>
            </w:r>
          </w:p>
        </w:tc>
        <w:tc>
          <w:tcPr>
            <w:tcW w:type="dxa" w:w="4896"/>
            <w:vAlign w:val="center"/>
          </w:tcPr>
          <w:p>
            <w:pPr>
              <w:spacing w:after="0" w:before="0"/>
            </w:pPr>
            <w:r/>
            <w:r>
              <w:rPr>
                <w:rFonts w:ascii="Arial" w:hAnsi="Arial" w:eastAsia="Arial"/>
                <w:b w:val="0"/>
                <w:sz w:val="15"/>
              </w:rPr>
              <w:t>retrieval-in-the-loop over a synthetic lending-policy corpus</w:t>
            </w:r>
          </w:p>
        </w:tc>
      </w:tr>
    </w:tbl>
    <w:p>
      <w:pPr>
        <w:spacing w:after="0"/>
      </w:pPr>
    </w:p>
    <w:p>
      <w:pPr>
        <w:pStyle w:val="Heading2"/>
      </w:pPr>
      <w:r>
        <w:t>7.2 Observability &amp; Tracing (Arize Phoenix — mandated)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Area</w:t>
            </w:r>
          </w:p>
        </w:tc>
        <w:tc>
          <w:tcPr>
            <w:tcW w:type="dxa" w:w="3600"/>
            <w:vAlign w:val="center"/>
            <w:shd w:fill="17365D"/>
          </w:tcPr>
          <w:p>
            <w:pPr>
              <w:spacing w:after="0" w:before="0"/>
            </w:pPr>
            <w:r/>
            <w:r>
              <w:rPr>
                <w:rFonts w:ascii="Arial" w:hAnsi="Arial" w:eastAsia="Arial"/>
                <w:b/>
                <w:color w:val="FFFFFF"/>
                <w:sz w:val="14"/>
              </w:rPr>
              <w:t>Artifact (path)</w:t>
            </w:r>
          </w:p>
        </w:tc>
        <w:tc>
          <w:tcPr>
            <w:tcW w:type="dxa" w:w="4896"/>
            <w:vAlign w:val="center"/>
            <w:shd w:fill="17365D"/>
          </w:tcPr>
          <w:p>
            <w:pPr>
              <w:spacing w:after="0" w:before="0"/>
            </w:pPr>
            <w:r/>
            <w:r>
              <w:rPr>
                <w:rFonts w:ascii="Arial" w:hAnsi="Arial" w:eastAsia="Arial"/>
                <w:b/>
                <w:color w:val="FFFFFF"/>
                <w:sz w:val="14"/>
              </w:rPr>
              <w:t>Must contain</w:t>
            </w:r>
          </w:p>
        </w:tc>
      </w:tr>
      <w:tr>
        <w:trPr>
          <w:cantSplit/>
        </w:trPr>
        <w:tc>
          <w:tcPr>
            <w:tcW w:type="dxa" w:w="2160"/>
            <w:vAlign w:val="center"/>
          </w:tcPr>
          <w:p>
            <w:pPr>
              <w:spacing w:after="0" w:before="0"/>
            </w:pPr>
            <w:r/>
            <w:r>
              <w:rPr>
                <w:rFonts w:ascii="Arial" w:hAnsi="Arial" w:eastAsia="Arial"/>
                <w:b w:val="0"/>
                <w:sz w:val="14"/>
              </w:rPr>
              <w:t>Phoenix instrumentation</w:t>
            </w:r>
          </w:p>
        </w:tc>
        <w:tc>
          <w:tcPr>
            <w:tcW w:type="dxa" w:w="3600"/>
            <w:vAlign w:val="center"/>
          </w:tcPr>
          <w:p>
            <w:pPr>
              <w:spacing w:after="0" w:before="0"/>
            </w:pPr>
            <w:r/>
            <w:r>
              <w:rPr>
                <w:rFonts w:ascii="Arial" w:hAnsi="Arial" w:eastAsia="Arial"/>
                <w:b w:val="0"/>
                <w:sz w:val="14"/>
              </w:rPr>
              <w:t>src/observability/tracing.py</w:t>
            </w:r>
          </w:p>
        </w:tc>
        <w:tc>
          <w:tcPr>
            <w:tcW w:type="dxa" w:w="4896"/>
            <w:vAlign w:val="center"/>
          </w:tcPr>
          <w:p>
            <w:pPr>
              <w:spacing w:after="0" w:before="0"/>
            </w:pPr>
            <w:r/>
            <w:r>
              <w:rPr>
                <w:rFonts w:ascii="Arial" w:hAnsi="Arial" w:eastAsia="Arial"/>
                <w:b w:val="0"/>
                <w:sz w:val="14"/>
              </w:rPr>
              <w:t>Phoenix/openinference tracer wired into the run path (called, not just imported)</w:t>
            </w:r>
          </w:p>
        </w:tc>
      </w:tr>
      <w:tr>
        <w:trPr>
          <w:cantSplit/>
        </w:trPr>
        <w:tc>
          <w:tcPr>
            <w:tcW w:type="dxa" w:w="2160"/>
            <w:vAlign w:val="center"/>
            <w:shd w:fill="EEF3F8"/>
          </w:tcPr>
          <w:p>
            <w:pPr>
              <w:spacing w:after="0" w:before="0"/>
            </w:pPr>
            <w:r/>
            <w:r>
              <w:rPr>
                <w:rFonts w:ascii="Arial" w:hAnsi="Arial" w:eastAsia="Arial"/>
                <w:b w:val="0"/>
                <w:sz w:val="14"/>
              </w:rPr>
              <w:t>Trace export</w:t>
            </w:r>
          </w:p>
        </w:tc>
        <w:tc>
          <w:tcPr>
            <w:tcW w:type="dxa" w:w="3600"/>
            <w:vAlign w:val="center"/>
            <w:shd w:fill="EEF3F8"/>
          </w:tcPr>
          <w:p>
            <w:pPr>
              <w:spacing w:after="0" w:before="0"/>
            </w:pPr>
            <w:r/>
            <w:r>
              <w:rPr>
                <w:rFonts w:ascii="Arial" w:hAnsi="Arial" w:eastAsia="Arial"/>
                <w:b w:val="0"/>
                <w:sz w:val="14"/>
              </w:rPr>
              <w:t>traces/phoenix_spans.parquet</w:t>
              <w:br/>
              <w:t>(or .jsonl)</w:t>
            </w:r>
          </w:p>
        </w:tc>
        <w:tc>
          <w:tcPr>
            <w:tcW w:type="dxa" w:w="4896"/>
            <w:vAlign w:val="center"/>
            <w:shd w:fill="EEF3F8"/>
          </w:tcPr>
          <w:p>
            <w:pPr>
              <w:spacing w:after="0" w:before="0"/>
            </w:pPr>
            <w:r/>
            <w:r>
              <w:rPr>
                <w:rFonts w:ascii="Arial" w:hAnsi="Arial" w:eastAsia="Arial"/>
                <w:b w:val="0"/>
                <w:sz w:val="14"/>
              </w:rPr>
              <w:t>≥1 full run; spans across multiple agents + every tool call; latencies present</w:t>
            </w:r>
          </w:p>
        </w:tc>
      </w:tr>
      <w:tr>
        <w:trPr>
          <w:cantSplit/>
        </w:trPr>
        <w:tc>
          <w:tcPr>
            <w:tcW w:type="dxa" w:w="2160"/>
            <w:vAlign w:val="center"/>
          </w:tcPr>
          <w:p>
            <w:pPr>
              <w:spacing w:after="0" w:before="0"/>
            </w:pPr>
            <w:r/>
            <w:r>
              <w:rPr>
                <w:rFonts w:ascii="Arial" w:hAnsi="Arial" w:eastAsia="Arial"/>
                <w:b w:val="0"/>
                <w:sz w:val="14"/>
              </w:rPr>
              <w:t>Tool-invocation log</w:t>
            </w:r>
          </w:p>
        </w:tc>
        <w:tc>
          <w:tcPr>
            <w:tcW w:type="dxa" w:w="3600"/>
            <w:vAlign w:val="center"/>
          </w:tcPr>
          <w:p>
            <w:pPr>
              <w:spacing w:after="0" w:before="0"/>
            </w:pPr>
            <w:r/>
            <w:r>
              <w:rPr>
                <w:rFonts w:ascii="Arial" w:hAnsi="Arial" w:eastAsia="Arial"/>
                <w:b w:val="0"/>
                <w:sz w:val="14"/>
              </w:rPr>
              <w:t>logs/tool_calls.jsonl</w:t>
            </w:r>
          </w:p>
        </w:tc>
        <w:tc>
          <w:tcPr>
            <w:tcW w:type="dxa" w:w="4896"/>
            <w:vAlign w:val="center"/>
          </w:tcPr>
          <w:p>
            <w:pPr>
              <w:spacing w:after="0" w:before="0"/>
            </w:pPr>
            <w:r/>
            <w:r>
              <w:rPr>
                <w:rFonts w:ascii="Arial" w:hAnsi="Arial" w:eastAsia="Arial"/>
                <w:b w:val="0"/>
                <w:sz w:val="14"/>
              </w:rPr>
              <w:t>machine-generated; per call: timestamp, agent/node, tool_name, args, result, latency_ms, status; names reconcile with code</w:t>
            </w:r>
          </w:p>
        </w:tc>
      </w:tr>
      <w:tr>
        <w:trPr>
          <w:cantSplit/>
        </w:trPr>
        <w:tc>
          <w:tcPr>
            <w:tcW w:type="dxa" w:w="2160"/>
            <w:vAlign w:val="center"/>
            <w:shd w:fill="EEF3F8"/>
          </w:tcPr>
          <w:p>
            <w:pPr>
              <w:spacing w:after="0" w:before="0"/>
            </w:pPr>
            <w:r/>
            <w:r>
              <w:rPr>
                <w:rFonts w:ascii="Arial" w:hAnsi="Arial" w:eastAsia="Arial"/>
                <w:b w:val="0"/>
                <w:sz w:val="14"/>
              </w:rPr>
              <w:t>Failure-mode analysis</w:t>
            </w:r>
          </w:p>
        </w:tc>
        <w:tc>
          <w:tcPr>
            <w:tcW w:type="dxa" w:w="3600"/>
            <w:vAlign w:val="center"/>
            <w:shd w:fill="EEF3F8"/>
          </w:tcPr>
          <w:p>
            <w:pPr>
              <w:spacing w:after="0" w:before="0"/>
            </w:pPr>
            <w:r/>
            <w:r>
              <w:rPr>
                <w:rFonts w:ascii="Arial" w:hAnsi="Arial" w:eastAsia="Arial"/>
                <w:b w:val="0"/>
                <w:sz w:val="14"/>
              </w:rPr>
              <w:t>docs/failure-analysis.md</w:t>
            </w:r>
          </w:p>
        </w:tc>
        <w:tc>
          <w:tcPr>
            <w:tcW w:type="dxa" w:w="4896"/>
            <w:vAlign w:val="center"/>
            <w:shd w:fill="EEF3F8"/>
          </w:tcPr>
          <w:p>
            <w:pPr>
              <w:spacing w:after="0" w:before="0"/>
            </w:pPr>
            <w:r/>
            <w:r>
              <w:rPr>
                <w:rFonts w:ascii="Arial" w:hAnsi="Arial" w:eastAsia="Arial"/>
                <w:b w:val="0"/>
                <w:sz w:val="14"/>
              </w:rPr>
              <w:t>≥3 real failures, EACH citing Phoenix run_id + span_id (or tool-log record) + root cause + fix</w:t>
            </w:r>
          </w:p>
        </w:tc>
      </w:tr>
    </w:tbl>
    <w:p>
      <w:pPr>
        <w:spacing w:after="0"/>
      </w:pPr>
    </w:p>
    <w:p>
      <w:pPr>
        <w:pStyle w:val="Heading2"/>
      </w:pPr>
      <w:r>
        <w:t>7.3 Performance &amp; Cost Governance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Area</w:t>
            </w:r>
          </w:p>
        </w:tc>
        <w:tc>
          <w:tcPr>
            <w:tcW w:type="dxa" w:w="3600"/>
            <w:vAlign w:val="center"/>
            <w:shd w:fill="17365D"/>
          </w:tcPr>
          <w:p>
            <w:pPr>
              <w:spacing w:after="0" w:before="0"/>
            </w:pPr>
            <w:r/>
            <w:r>
              <w:rPr>
                <w:rFonts w:ascii="Arial" w:hAnsi="Arial" w:eastAsia="Arial"/>
                <w:b/>
                <w:color w:val="FFFFFF"/>
                <w:sz w:val="14"/>
              </w:rPr>
              <w:t>Artifact (path)</w:t>
            </w:r>
          </w:p>
        </w:tc>
        <w:tc>
          <w:tcPr>
            <w:tcW w:type="dxa" w:w="4896"/>
            <w:vAlign w:val="center"/>
            <w:shd w:fill="17365D"/>
          </w:tcPr>
          <w:p>
            <w:pPr>
              <w:spacing w:after="0" w:before="0"/>
            </w:pPr>
            <w:r/>
            <w:r>
              <w:rPr>
                <w:rFonts w:ascii="Arial" w:hAnsi="Arial" w:eastAsia="Arial"/>
                <w:b/>
                <w:color w:val="FFFFFF"/>
                <w:sz w:val="14"/>
              </w:rPr>
              <w:t>Must contain</w:t>
            </w:r>
          </w:p>
        </w:tc>
      </w:tr>
      <w:tr>
        <w:trPr>
          <w:cantSplit/>
        </w:trPr>
        <w:tc>
          <w:tcPr>
            <w:tcW w:type="dxa" w:w="2160"/>
            <w:vAlign w:val="center"/>
          </w:tcPr>
          <w:p>
            <w:pPr>
              <w:spacing w:after="0" w:before="0"/>
            </w:pPr>
            <w:r/>
            <w:r>
              <w:rPr>
                <w:rFonts w:ascii="Arial" w:hAnsi="Arial" w:eastAsia="Arial"/>
                <w:b w:val="0"/>
                <w:sz w:val="14"/>
              </w:rPr>
              <w:t>Golden-signals report</w:t>
            </w:r>
          </w:p>
        </w:tc>
        <w:tc>
          <w:tcPr>
            <w:tcW w:type="dxa" w:w="3600"/>
            <w:vAlign w:val="center"/>
          </w:tcPr>
          <w:p>
            <w:pPr>
              <w:spacing w:after="0" w:before="0"/>
            </w:pPr>
            <w:r/>
            <w:r>
              <w:rPr>
                <w:rFonts w:ascii="Arial" w:hAnsi="Arial" w:eastAsia="Arial"/>
                <w:b w:val="0"/>
                <w:sz w:val="14"/>
              </w:rPr>
              <w:t>reports/golden_signals.json +</w:t>
              <w:br/>
              <w:t>producing script</w:t>
            </w:r>
          </w:p>
        </w:tc>
        <w:tc>
          <w:tcPr>
            <w:tcW w:type="dxa" w:w="4896"/>
            <w:vAlign w:val="center"/>
          </w:tcPr>
          <w:p>
            <w:pPr>
              <w:spacing w:after="0" w:before="0"/>
            </w:pPr>
            <w:r/>
            <w:r>
              <w:rPr>
                <w:rFonts w:ascii="Arial" w:hAnsi="Arial" w:eastAsia="Arial"/>
                <w:b w:val="0"/>
                <w:sz w:val="14"/>
              </w:rPr>
              <w:t>Phoenix-derived latency (thinking/acting/tool), tokens in/out, cost estimate; accuracy + hallucination rate from the eval</w:t>
            </w:r>
          </w:p>
        </w:tc>
      </w:tr>
      <w:tr>
        <w:trPr>
          <w:cantSplit/>
        </w:trPr>
        <w:tc>
          <w:tcPr>
            <w:tcW w:type="dxa" w:w="2160"/>
            <w:vAlign w:val="center"/>
            <w:shd w:fill="EEF3F8"/>
          </w:tcPr>
          <w:p>
            <w:pPr>
              <w:spacing w:after="0" w:before="0"/>
            </w:pPr>
            <w:r/>
            <w:r>
              <w:rPr>
                <w:rFonts w:ascii="Arial" w:hAnsi="Arial" w:eastAsia="Arial"/>
                <w:b w:val="0"/>
                <w:sz w:val="14"/>
              </w:rPr>
              <w:t>Cost/latency dashboard</w:t>
            </w:r>
          </w:p>
        </w:tc>
        <w:tc>
          <w:tcPr>
            <w:tcW w:type="dxa" w:w="3600"/>
            <w:vAlign w:val="center"/>
            <w:shd w:fill="EEF3F8"/>
          </w:tcPr>
          <w:p>
            <w:pPr>
              <w:spacing w:after="0" w:before="0"/>
            </w:pPr>
            <w:r/>
            <w:r>
              <w:rPr>
                <w:rFonts w:ascii="Arial" w:hAnsi="Arial" w:eastAsia="Arial"/>
                <w:b w:val="0"/>
                <w:sz w:val="14"/>
              </w:rPr>
              <w:t>reports/dashboard.png +</w:t>
              <w:br/>
              <w:t>reports/dashboard_data.csv</w:t>
            </w:r>
          </w:p>
        </w:tc>
        <w:tc>
          <w:tcPr>
            <w:tcW w:type="dxa" w:w="4896"/>
            <w:vAlign w:val="center"/>
            <w:shd w:fill="EEF3F8"/>
          </w:tcPr>
          <w:p>
            <w:pPr>
              <w:spacing w:after="0" w:before="0"/>
            </w:pPr>
            <w:r/>
            <w:r>
              <w:rPr>
                <w:rFonts w:ascii="Arial" w:hAnsi="Arial" w:eastAsia="Arial"/>
                <w:b w:val="0"/>
                <w:sz w:val="14"/>
              </w:rPr>
              <w:t>Phoenix latency/cost/token dashboard screenshot AND the underlying data file it was drawn from</w:t>
            </w:r>
          </w:p>
        </w:tc>
      </w:tr>
    </w:tbl>
    <w:p>
      <w:pPr>
        <w:spacing w:after="0"/>
      </w:pPr>
    </w:p>
    <w:p>
      <w:pPr>
        <w:pStyle w:val="Heading2"/>
      </w:pPr>
      <w:r>
        <w:t>7.4 Security &amp; Guardrails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Area</w:t>
            </w:r>
          </w:p>
        </w:tc>
        <w:tc>
          <w:tcPr>
            <w:tcW w:type="dxa" w:w="3600"/>
            <w:vAlign w:val="center"/>
            <w:shd w:fill="17365D"/>
          </w:tcPr>
          <w:p>
            <w:pPr>
              <w:spacing w:after="0" w:before="0"/>
            </w:pPr>
            <w:r/>
            <w:r>
              <w:rPr>
                <w:rFonts w:ascii="Arial" w:hAnsi="Arial" w:eastAsia="Arial"/>
                <w:b/>
                <w:color w:val="FFFFFF"/>
                <w:sz w:val="14"/>
              </w:rPr>
              <w:t>Artifact (path)</w:t>
            </w:r>
          </w:p>
        </w:tc>
        <w:tc>
          <w:tcPr>
            <w:tcW w:type="dxa" w:w="4896"/>
            <w:vAlign w:val="center"/>
            <w:shd w:fill="17365D"/>
          </w:tcPr>
          <w:p>
            <w:pPr>
              <w:spacing w:after="0" w:before="0"/>
            </w:pPr>
            <w:r/>
            <w:r>
              <w:rPr>
                <w:rFonts w:ascii="Arial" w:hAnsi="Arial" w:eastAsia="Arial"/>
                <w:b/>
                <w:color w:val="FFFFFF"/>
                <w:sz w:val="14"/>
              </w:rPr>
              <w:t>Must contain</w:t>
            </w:r>
          </w:p>
        </w:tc>
      </w:tr>
      <w:tr>
        <w:trPr>
          <w:cantSplit/>
        </w:trPr>
        <w:tc>
          <w:tcPr>
            <w:tcW w:type="dxa" w:w="2160"/>
            <w:vAlign w:val="center"/>
          </w:tcPr>
          <w:p>
            <w:pPr>
              <w:spacing w:after="0" w:before="0"/>
            </w:pPr>
            <w:r/>
            <w:r>
              <w:rPr>
                <w:rFonts w:ascii="Arial" w:hAnsi="Arial" w:eastAsia="Arial"/>
                <w:b w:val="0"/>
                <w:sz w:val="14"/>
              </w:rPr>
              <w:t>Guardrail code</w:t>
            </w:r>
          </w:p>
        </w:tc>
        <w:tc>
          <w:tcPr>
            <w:tcW w:type="dxa" w:w="3600"/>
            <w:vAlign w:val="center"/>
          </w:tcPr>
          <w:p>
            <w:pPr>
              <w:spacing w:after="0" w:before="0"/>
            </w:pPr>
            <w:r/>
            <w:r>
              <w:rPr>
                <w:rFonts w:ascii="Arial" w:hAnsi="Arial" w:eastAsia="Arial"/>
                <w:b w:val="0"/>
                <w:sz w:val="14"/>
              </w:rPr>
              <w:t>src/guardrails/</w:t>
            </w:r>
          </w:p>
        </w:tc>
        <w:tc>
          <w:tcPr>
            <w:tcW w:type="dxa" w:w="4896"/>
            <w:vAlign w:val="center"/>
          </w:tcPr>
          <w:p>
            <w:pPr>
              <w:spacing w:after="0" w:before="0"/>
            </w:pPr>
            <w:r/>
            <w:r>
              <w:rPr>
                <w:rFonts w:ascii="Arial" w:hAnsi="Arial" w:eastAsia="Arial"/>
                <w:b w:val="0"/>
                <w:sz w:val="14"/>
              </w:rPr>
              <w:t>input/output guardrails wired into the agent's I/O path (blocks/sanitizes)</w:t>
            </w:r>
          </w:p>
        </w:tc>
      </w:tr>
      <w:tr>
        <w:trPr>
          <w:cantSplit/>
        </w:trPr>
        <w:tc>
          <w:tcPr>
            <w:tcW w:type="dxa" w:w="2160"/>
            <w:vAlign w:val="center"/>
            <w:shd w:fill="EEF3F8"/>
          </w:tcPr>
          <w:p>
            <w:pPr>
              <w:spacing w:after="0" w:before="0"/>
            </w:pPr>
            <w:r/>
            <w:r>
              <w:rPr>
                <w:rFonts w:ascii="Arial" w:hAnsi="Arial" w:eastAsia="Arial"/>
                <w:b w:val="0"/>
                <w:sz w:val="14"/>
              </w:rPr>
              <w:t>Audit trail</w:t>
            </w:r>
          </w:p>
        </w:tc>
        <w:tc>
          <w:tcPr>
            <w:tcW w:type="dxa" w:w="3600"/>
            <w:vAlign w:val="center"/>
            <w:shd w:fill="EEF3F8"/>
          </w:tcPr>
          <w:p>
            <w:pPr>
              <w:spacing w:after="0" w:before="0"/>
            </w:pPr>
            <w:r/>
            <w:r>
              <w:rPr>
                <w:rFonts w:ascii="Arial" w:hAnsi="Arial" w:eastAsia="Arial"/>
                <w:b w:val="0"/>
                <w:sz w:val="14"/>
              </w:rPr>
              <w:t>logs/agent_actions.jsonl + audit middleware</w:t>
            </w:r>
          </w:p>
        </w:tc>
        <w:tc>
          <w:tcPr>
            <w:tcW w:type="dxa" w:w="4896"/>
            <w:vAlign w:val="center"/>
            <w:shd w:fill="EEF3F8"/>
          </w:tcPr>
          <w:p>
            <w:pPr>
              <w:spacing w:after="0" w:before="0"/>
            </w:pPr>
            <w:r/>
            <w:r>
              <w:rPr>
                <w:rFonts w:ascii="Arial" w:hAnsi="Arial" w:eastAsia="Arial"/>
                <w:b w:val="0"/>
                <w:sz w:val="14"/>
              </w:rPr>
              <w:t>machine-generated: actor, action, tool, decision, timestamp for consequential actions</w:t>
            </w:r>
          </w:p>
        </w:tc>
      </w:tr>
      <w:tr>
        <w:trPr>
          <w:cantSplit/>
        </w:trPr>
        <w:tc>
          <w:tcPr>
            <w:tcW w:type="dxa" w:w="2160"/>
            <w:vAlign w:val="center"/>
          </w:tcPr>
          <w:p>
            <w:pPr>
              <w:spacing w:after="0" w:before="0"/>
            </w:pPr>
            <w:r/>
            <w:r>
              <w:rPr>
                <w:rFonts w:ascii="Arial" w:hAnsi="Arial" w:eastAsia="Arial"/>
                <w:b w:val="0"/>
                <w:sz w:val="14"/>
              </w:rPr>
              <w:t>Secrets hygiene</w:t>
            </w:r>
          </w:p>
        </w:tc>
        <w:tc>
          <w:tcPr>
            <w:tcW w:type="dxa" w:w="3600"/>
            <w:vAlign w:val="center"/>
          </w:tcPr>
          <w:p>
            <w:pPr>
              <w:spacing w:after="0" w:before="0"/>
            </w:pPr>
            <w:r/>
            <w:r>
              <w:rPr>
                <w:rFonts w:ascii="Arial" w:hAnsi="Arial" w:eastAsia="Arial"/>
                <w:b w:val="0"/>
                <w:sz w:val="14"/>
              </w:rPr>
              <w:t>.env.example, .gitignore</w:t>
            </w:r>
          </w:p>
        </w:tc>
        <w:tc>
          <w:tcPr>
            <w:tcW w:type="dxa" w:w="4896"/>
            <w:vAlign w:val="center"/>
          </w:tcPr>
          <w:p>
            <w:pPr>
              <w:spacing w:after="0" w:before="0"/>
            </w:pPr>
            <w:r/>
            <w:r>
              <w:rPr>
                <w:rFonts w:ascii="Arial" w:hAnsi="Arial" w:eastAsia="Arial"/>
                <w:b w:val="0"/>
                <w:sz w:val="14"/>
              </w:rPr>
              <w:t>env-var config; .gitignore covers .env; no secrets committed anywhere</w:t>
            </w:r>
          </w:p>
        </w:tc>
      </w:tr>
    </w:tbl>
    <w:p>
      <w:pPr>
        <w:spacing w:after="0"/>
      </w:pPr>
    </w:p>
    <w:p>
      <w:pPr>
        <w:pStyle w:val="Heading2"/>
      </w:pPr>
      <w:r>
        <w:t>7.5 Governance &amp; Compliance (citation-gated)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Area</w:t>
            </w:r>
          </w:p>
        </w:tc>
        <w:tc>
          <w:tcPr>
            <w:tcW w:type="dxa" w:w="3600"/>
            <w:vAlign w:val="center"/>
            <w:shd w:fill="17365D"/>
          </w:tcPr>
          <w:p>
            <w:pPr>
              <w:spacing w:after="0" w:before="0"/>
            </w:pPr>
            <w:r/>
            <w:r>
              <w:rPr>
                <w:rFonts w:ascii="Arial" w:hAnsi="Arial" w:eastAsia="Arial"/>
                <w:b/>
                <w:color w:val="FFFFFF"/>
                <w:sz w:val="14"/>
              </w:rPr>
              <w:t>Artifact (path)</w:t>
            </w:r>
          </w:p>
        </w:tc>
        <w:tc>
          <w:tcPr>
            <w:tcW w:type="dxa" w:w="4896"/>
            <w:vAlign w:val="center"/>
            <w:shd w:fill="17365D"/>
          </w:tcPr>
          <w:p>
            <w:pPr>
              <w:spacing w:after="0" w:before="0"/>
            </w:pPr>
            <w:r/>
            <w:r>
              <w:rPr>
                <w:rFonts w:ascii="Arial" w:hAnsi="Arial" w:eastAsia="Arial"/>
                <w:b/>
                <w:color w:val="FFFFFF"/>
                <w:sz w:val="14"/>
              </w:rPr>
              <w:t>Must contain</w:t>
            </w:r>
          </w:p>
        </w:tc>
      </w:tr>
      <w:tr>
        <w:trPr>
          <w:cantSplit/>
        </w:trPr>
        <w:tc>
          <w:tcPr>
            <w:tcW w:type="dxa" w:w="2160"/>
            <w:vAlign w:val="center"/>
          </w:tcPr>
          <w:p>
            <w:pPr>
              <w:spacing w:after="0" w:before="0"/>
            </w:pPr>
            <w:r/>
            <w:r>
              <w:rPr>
                <w:rFonts w:ascii="Arial" w:hAnsi="Arial" w:eastAsia="Arial"/>
                <w:b w:val="0"/>
                <w:sz w:val="14"/>
              </w:rPr>
              <w:t>Risk register</w:t>
            </w:r>
          </w:p>
        </w:tc>
        <w:tc>
          <w:tcPr>
            <w:tcW w:type="dxa" w:w="3600"/>
            <w:vAlign w:val="center"/>
          </w:tcPr>
          <w:p>
            <w:pPr>
              <w:spacing w:after="0" w:before="0"/>
            </w:pPr>
            <w:r/>
            <w:r>
              <w:rPr>
                <w:rFonts w:ascii="Arial" w:hAnsi="Arial" w:eastAsia="Arial"/>
                <w:b w:val="0"/>
                <w:sz w:val="14"/>
              </w:rPr>
              <w:t>docs/risk-register.md</w:t>
            </w:r>
          </w:p>
        </w:tc>
        <w:tc>
          <w:tcPr>
            <w:tcW w:type="dxa" w:w="4896"/>
            <w:vAlign w:val="center"/>
          </w:tcPr>
          <w:p>
            <w:pPr>
              <w:spacing w:after="0" w:before="0"/>
            </w:pPr>
            <w:r/>
            <w:r>
              <w:rPr>
                <w:rFonts w:ascii="Arial" w:hAnsi="Arial" w:eastAsia="Arial"/>
                <w:b w:val="0"/>
                <w:sz w:val="14"/>
              </w:rPr>
              <w:t>risk, category (OWASP/NIST), likelihood, impact, mitigation (cite the committed control), residual risk, owner</w:t>
            </w:r>
          </w:p>
        </w:tc>
      </w:tr>
      <w:tr>
        <w:trPr>
          <w:cantSplit/>
        </w:trPr>
        <w:tc>
          <w:tcPr>
            <w:tcW w:type="dxa" w:w="2160"/>
            <w:vAlign w:val="center"/>
            <w:shd w:fill="EEF3F8"/>
          </w:tcPr>
          <w:p>
            <w:pPr>
              <w:spacing w:after="0" w:before="0"/>
            </w:pPr>
            <w:r/>
            <w:r>
              <w:rPr>
                <w:rFonts w:ascii="Arial" w:hAnsi="Arial" w:eastAsia="Arial"/>
                <w:b w:val="0"/>
                <w:sz w:val="14"/>
              </w:rPr>
              <w:t>Model / system card</w:t>
            </w:r>
          </w:p>
        </w:tc>
        <w:tc>
          <w:tcPr>
            <w:tcW w:type="dxa" w:w="3600"/>
            <w:vAlign w:val="center"/>
            <w:shd w:fill="EEF3F8"/>
          </w:tcPr>
          <w:p>
            <w:pPr>
              <w:spacing w:after="0" w:before="0"/>
            </w:pPr>
            <w:r/>
            <w:r>
              <w:rPr>
                <w:rFonts w:ascii="Arial" w:hAnsi="Arial" w:eastAsia="Arial"/>
                <w:b w:val="0"/>
                <w:sz w:val="14"/>
              </w:rPr>
              <w:t>docs/model-card.md</w:t>
            </w:r>
          </w:p>
        </w:tc>
        <w:tc>
          <w:tcPr>
            <w:tcW w:type="dxa" w:w="4896"/>
            <w:vAlign w:val="center"/>
            <w:shd w:fill="EEF3F8"/>
          </w:tcPr>
          <w:p>
            <w:pPr>
              <w:spacing w:after="0" w:before="0"/>
            </w:pPr>
            <w:r/>
            <w:r>
              <w:rPr>
                <w:rFonts w:ascii="Arial" w:hAnsi="Arial" w:eastAsia="Arial"/>
                <w:b w:val="0"/>
                <w:sz w:val="14"/>
              </w:rPr>
              <w:t>model (Gemini), data (synthetic), intended use, limitations, known failure modes (cite failure-analysis.md), out-of-scope</w:t>
            </w:r>
          </w:p>
        </w:tc>
      </w:tr>
      <w:tr>
        <w:trPr>
          <w:cantSplit/>
        </w:trPr>
        <w:tc>
          <w:tcPr>
            <w:tcW w:type="dxa" w:w="2160"/>
            <w:vAlign w:val="center"/>
          </w:tcPr>
          <w:p>
            <w:pPr>
              <w:spacing w:after="0" w:before="0"/>
            </w:pPr>
            <w:r/>
            <w:r>
              <w:rPr>
                <w:rFonts w:ascii="Arial" w:hAnsi="Arial" w:eastAsia="Arial"/>
                <w:b w:val="0"/>
                <w:sz w:val="14"/>
              </w:rPr>
              <w:t>Compliance mapping</w:t>
            </w:r>
          </w:p>
        </w:tc>
        <w:tc>
          <w:tcPr>
            <w:tcW w:type="dxa" w:w="3600"/>
            <w:vAlign w:val="center"/>
          </w:tcPr>
          <w:p>
            <w:pPr>
              <w:spacing w:after="0" w:before="0"/>
            </w:pPr>
            <w:r/>
            <w:r>
              <w:rPr>
                <w:rFonts w:ascii="Arial" w:hAnsi="Arial" w:eastAsia="Arial"/>
                <w:b w:val="0"/>
                <w:sz w:val="14"/>
              </w:rPr>
              <w:t>docs/compliance.md</w:t>
            </w:r>
          </w:p>
        </w:tc>
        <w:tc>
          <w:tcPr>
            <w:tcW w:type="dxa" w:w="4896"/>
            <w:vAlign w:val="center"/>
          </w:tcPr>
          <w:p>
            <w:pPr>
              <w:spacing w:after="0" w:before="0"/>
            </w:pPr>
            <w:r/>
            <w:r>
              <w:rPr>
                <w:rFonts w:ascii="Arial" w:hAnsi="Arial" w:eastAsia="Arial"/>
                <w:b w:val="0"/>
                <w:sz w:val="14"/>
              </w:rPr>
              <w:t>applicable EU AI Act / NIST AI RMF / DPDP obligations → how addressed → evidence artifact</w:t>
            </w:r>
          </w:p>
        </w:tc>
      </w:tr>
      <w:tr>
        <w:trPr>
          <w:cantSplit/>
        </w:trPr>
        <w:tc>
          <w:tcPr>
            <w:tcW w:type="dxa" w:w="2160"/>
            <w:vAlign w:val="center"/>
            <w:shd w:fill="EEF3F8"/>
          </w:tcPr>
          <w:p>
            <w:pPr>
              <w:spacing w:after="0" w:before="0"/>
            </w:pPr>
            <w:r/>
            <w:r>
              <w:rPr>
                <w:rFonts w:ascii="Arial" w:hAnsi="Arial" w:eastAsia="Arial"/>
                <w:b w:val="0"/>
                <w:sz w:val="14"/>
              </w:rPr>
              <w:t>Output-risk classification</w:t>
            </w:r>
          </w:p>
        </w:tc>
        <w:tc>
          <w:tcPr>
            <w:tcW w:type="dxa" w:w="3600"/>
            <w:vAlign w:val="center"/>
            <w:shd w:fill="EEF3F8"/>
          </w:tcPr>
          <w:p>
            <w:pPr>
              <w:spacing w:after="0" w:before="0"/>
            </w:pPr>
            <w:r/>
            <w:r>
              <w:rPr>
                <w:rFonts w:ascii="Arial" w:hAnsi="Arial" w:eastAsia="Arial"/>
                <w:b w:val="0"/>
                <w:sz w:val="14"/>
              </w:rPr>
              <w:t>docs/output-risk.md</w:t>
            </w:r>
          </w:p>
        </w:tc>
        <w:tc>
          <w:tcPr>
            <w:tcW w:type="dxa" w:w="4896"/>
            <w:vAlign w:val="center"/>
            <w:shd w:fill="EEF3F8"/>
          </w:tcPr>
          <w:p>
            <w:pPr>
              <w:spacing w:after="0" w:before="0"/>
            </w:pPr>
            <w:r/>
            <w:r>
              <w:rPr>
                <w:rFonts w:ascii="Arial" w:hAnsi="Arial" w:eastAsia="Arial"/>
                <w:b w:val="0"/>
                <w:sz w:val="14"/>
              </w:rPr>
              <w:t>low/med/high output tiers + how high-risk is gated (human-in-loop / refusal) + a sample</w:t>
            </w:r>
          </w:p>
        </w:tc>
      </w:tr>
    </w:tbl>
    <w:p>
      <w:pPr>
        <w:spacing w:after="0"/>
      </w:pPr>
    </w:p>
    <w:p>
      <w:pPr>
        <w:pStyle w:val="Heading2"/>
      </w:pPr>
      <w:r>
        <w:t>7.6 Agent Evaluation &amp; Testing (lean, agent-specific)</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Area</w:t>
            </w:r>
          </w:p>
        </w:tc>
        <w:tc>
          <w:tcPr>
            <w:tcW w:type="dxa" w:w="3600"/>
            <w:vAlign w:val="center"/>
            <w:shd w:fill="17365D"/>
          </w:tcPr>
          <w:p>
            <w:pPr>
              <w:spacing w:after="0" w:before="0"/>
            </w:pPr>
            <w:r/>
            <w:r>
              <w:rPr>
                <w:rFonts w:ascii="Arial" w:hAnsi="Arial" w:eastAsia="Arial"/>
                <w:b/>
                <w:color w:val="FFFFFF"/>
                <w:sz w:val="14"/>
              </w:rPr>
              <w:t>Artifact (path)</w:t>
            </w:r>
          </w:p>
        </w:tc>
        <w:tc>
          <w:tcPr>
            <w:tcW w:type="dxa" w:w="4896"/>
            <w:vAlign w:val="center"/>
            <w:shd w:fill="17365D"/>
          </w:tcPr>
          <w:p>
            <w:pPr>
              <w:spacing w:after="0" w:before="0"/>
            </w:pPr>
            <w:r/>
            <w:r>
              <w:rPr>
                <w:rFonts w:ascii="Arial" w:hAnsi="Arial" w:eastAsia="Arial"/>
                <w:b/>
                <w:color w:val="FFFFFF"/>
                <w:sz w:val="14"/>
              </w:rPr>
              <w:t>Must contain</w:t>
            </w:r>
          </w:p>
        </w:tc>
      </w:tr>
      <w:tr>
        <w:trPr>
          <w:cantSplit/>
        </w:trPr>
        <w:tc>
          <w:tcPr>
            <w:tcW w:type="dxa" w:w="2160"/>
            <w:vAlign w:val="center"/>
          </w:tcPr>
          <w:p>
            <w:pPr>
              <w:spacing w:after="0" w:before="0"/>
            </w:pPr>
            <w:r/>
            <w:r>
              <w:rPr>
                <w:rFonts w:ascii="Arial" w:hAnsi="Arial" w:eastAsia="Arial"/>
                <w:b w:val="0"/>
                <w:sz w:val="14"/>
              </w:rPr>
              <w:t>Evaluation report</w:t>
            </w:r>
          </w:p>
        </w:tc>
        <w:tc>
          <w:tcPr>
            <w:tcW w:type="dxa" w:w="3600"/>
            <w:vAlign w:val="center"/>
          </w:tcPr>
          <w:p>
            <w:pPr>
              <w:spacing w:after="0" w:before="0"/>
            </w:pPr>
            <w:r/>
            <w:r>
              <w:rPr>
                <w:rFonts w:ascii="Arial" w:hAnsi="Arial" w:eastAsia="Arial"/>
                <w:b w:val="0"/>
                <w:sz w:val="14"/>
              </w:rPr>
              <w:t>reports/eval_report.json +</w:t>
              <w:br/>
              <w:t>harness</w:t>
            </w:r>
          </w:p>
        </w:tc>
        <w:tc>
          <w:tcPr>
            <w:tcW w:type="dxa" w:w="4896"/>
            <w:vAlign w:val="center"/>
          </w:tcPr>
          <w:p>
            <w:pPr>
              <w:spacing w:after="0" w:before="0"/>
            </w:pPr>
            <w:r/>
            <w:r>
              <w:rPr>
                <w:rFonts w:ascii="Arial" w:hAnsi="Arial" w:eastAsia="Arial"/>
                <w:b w:val="0"/>
                <w:sz w:val="14"/>
              </w:rPr>
              <w:t>DeepEval (or equiv) over a golden set: hallucination + faithfulness/relevance; LLM-as-judge</w:t>
            </w:r>
          </w:p>
        </w:tc>
      </w:tr>
      <w:tr>
        <w:trPr>
          <w:cantSplit/>
        </w:trPr>
        <w:tc>
          <w:tcPr>
            <w:tcW w:type="dxa" w:w="2160"/>
            <w:vAlign w:val="center"/>
            <w:shd w:fill="EEF3F8"/>
          </w:tcPr>
          <w:p>
            <w:pPr>
              <w:spacing w:after="0" w:before="0"/>
            </w:pPr>
            <w:r/>
            <w:r>
              <w:rPr>
                <w:rFonts w:ascii="Arial" w:hAnsi="Arial" w:eastAsia="Arial"/>
                <w:b w:val="0"/>
                <w:sz w:val="14"/>
              </w:rPr>
              <w:t>Routing-logic test</w:t>
            </w:r>
          </w:p>
        </w:tc>
        <w:tc>
          <w:tcPr>
            <w:tcW w:type="dxa" w:w="3600"/>
            <w:vAlign w:val="center"/>
            <w:shd w:fill="EEF3F8"/>
          </w:tcPr>
          <w:p>
            <w:pPr>
              <w:spacing w:after="0" w:before="0"/>
            </w:pPr>
            <w:r/>
            <w:r>
              <w:rPr>
                <w:rFonts w:ascii="Arial" w:hAnsi="Arial" w:eastAsia="Arial"/>
                <w:b w:val="0"/>
                <w:sz w:val="14"/>
              </w:rPr>
              <w:t>tests/test_routing.py</w:t>
            </w:r>
          </w:p>
        </w:tc>
        <w:tc>
          <w:tcPr>
            <w:tcW w:type="dxa" w:w="4896"/>
            <w:vAlign w:val="center"/>
            <w:shd w:fill="EEF3F8"/>
          </w:tcPr>
          <w:p>
            <w:pPr>
              <w:spacing w:after="0" w:before="0"/>
            </w:pPr>
            <w:r/>
            <w:r>
              <w:rPr>
                <w:rFonts w:ascii="Arial" w:hAnsi="Arial" w:eastAsia="Arial"/>
                <w:b w:val="0"/>
                <w:sz w:val="14"/>
              </w:rPr>
              <w:t>asserts conditional edges route the right worker for given states</w:t>
            </w:r>
          </w:p>
        </w:tc>
      </w:tr>
      <w:tr>
        <w:trPr>
          <w:cantSplit/>
        </w:trPr>
        <w:tc>
          <w:tcPr>
            <w:tcW w:type="dxa" w:w="2160"/>
            <w:vAlign w:val="center"/>
          </w:tcPr>
          <w:p>
            <w:pPr>
              <w:spacing w:after="0" w:before="0"/>
            </w:pPr>
            <w:r/>
            <w:r>
              <w:rPr>
                <w:rFonts w:ascii="Arial" w:hAnsi="Arial" w:eastAsia="Arial"/>
                <w:b w:val="0"/>
                <w:sz w:val="14"/>
              </w:rPr>
              <w:t>Loop/cascade guard</w:t>
            </w:r>
          </w:p>
        </w:tc>
        <w:tc>
          <w:tcPr>
            <w:tcW w:type="dxa" w:w="3600"/>
            <w:vAlign w:val="center"/>
          </w:tcPr>
          <w:p>
            <w:pPr>
              <w:spacing w:after="0" w:before="0"/>
            </w:pPr>
            <w:r/>
            <w:r>
              <w:rPr>
                <w:rFonts w:ascii="Arial" w:hAnsi="Arial" w:eastAsia="Arial"/>
                <w:b w:val="0"/>
                <w:sz w:val="14"/>
              </w:rPr>
              <w:t>tests/test_loops.py</w:t>
            </w:r>
          </w:p>
        </w:tc>
        <w:tc>
          <w:tcPr>
            <w:tcW w:type="dxa" w:w="4896"/>
            <w:vAlign w:val="center"/>
          </w:tcPr>
          <w:p>
            <w:pPr>
              <w:spacing w:after="0" w:before="0"/>
            </w:pPr>
            <w:r/>
            <w:r>
              <w:rPr>
                <w:rFonts w:ascii="Arial" w:hAnsi="Arial" w:eastAsia="Arial"/>
                <w:b w:val="0"/>
                <w:sz w:val="14"/>
              </w:rPr>
              <w:t>asserts a max-steps / recursion-limit stops runaway loops</w:t>
            </w:r>
          </w:p>
        </w:tc>
      </w:tr>
      <w:tr>
        <w:trPr>
          <w:cantSplit/>
        </w:trPr>
        <w:tc>
          <w:tcPr>
            <w:tcW w:type="dxa" w:w="2160"/>
            <w:vAlign w:val="center"/>
            <w:shd w:fill="EEF3F8"/>
          </w:tcPr>
          <w:p>
            <w:pPr>
              <w:spacing w:after="0" w:before="0"/>
            </w:pPr>
            <w:r/>
            <w:r>
              <w:rPr>
                <w:rFonts w:ascii="Arial" w:hAnsi="Arial" w:eastAsia="Arial"/>
                <w:b w:val="0"/>
                <w:sz w:val="14"/>
              </w:rPr>
              <w:t>Tool-contract test</w:t>
            </w:r>
          </w:p>
        </w:tc>
        <w:tc>
          <w:tcPr>
            <w:tcW w:type="dxa" w:w="3600"/>
            <w:vAlign w:val="center"/>
            <w:shd w:fill="EEF3F8"/>
          </w:tcPr>
          <w:p>
            <w:pPr>
              <w:spacing w:after="0" w:before="0"/>
            </w:pPr>
            <w:r/>
            <w:r>
              <w:rPr>
                <w:rFonts w:ascii="Arial" w:hAnsi="Arial" w:eastAsia="Arial"/>
                <w:b w:val="0"/>
                <w:sz w:val="14"/>
              </w:rPr>
              <w:t>tests/test_tool_contracts.py</w:t>
            </w:r>
          </w:p>
        </w:tc>
        <w:tc>
          <w:tcPr>
            <w:tcW w:type="dxa" w:w="4896"/>
            <w:vAlign w:val="center"/>
            <w:shd w:fill="EEF3F8"/>
          </w:tcPr>
          <w:p>
            <w:pPr>
              <w:spacing w:after="0" w:before="0"/>
            </w:pPr>
            <w:r/>
            <w:r>
              <w:rPr>
                <w:rFonts w:ascii="Arial" w:hAnsi="Arial" w:eastAsia="Arial"/>
                <w:b w:val="0"/>
                <w:sz w:val="14"/>
              </w:rPr>
              <w:t>asserts each tool's input/output schema + one error path</w:t>
            </w:r>
          </w:p>
        </w:tc>
      </w:tr>
    </w:tbl>
    <w:p>
      <w:pPr>
        <w:spacing w:after="0"/>
      </w:pPr>
    </w:p>
    <w:p>
      <w:pPr>
        <w:pStyle w:val="Heading2"/>
      </w:pPr>
      <w:r>
        <w:t>7.7 Engineering &amp; Delivery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Area</w:t>
            </w:r>
          </w:p>
        </w:tc>
        <w:tc>
          <w:tcPr>
            <w:tcW w:type="dxa" w:w="3600"/>
            <w:vAlign w:val="center"/>
            <w:shd w:fill="17365D"/>
          </w:tcPr>
          <w:p>
            <w:pPr>
              <w:spacing w:after="0" w:before="0"/>
            </w:pPr>
            <w:r/>
            <w:r>
              <w:rPr>
                <w:rFonts w:ascii="Arial" w:hAnsi="Arial" w:eastAsia="Arial"/>
                <w:b/>
                <w:color w:val="FFFFFF"/>
                <w:sz w:val="14"/>
              </w:rPr>
              <w:t>Artifact (path)</w:t>
            </w:r>
          </w:p>
        </w:tc>
        <w:tc>
          <w:tcPr>
            <w:tcW w:type="dxa" w:w="4896"/>
            <w:vAlign w:val="center"/>
            <w:shd w:fill="17365D"/>
          </w:tcPr>
          <w:p>
            <w:pPr>
              <w:spacing w:after="0" w:before="0"/>
            </w:pPr>
            <w:r/>
            <w:r>
              <w:rPr>
                <w:rFonts w:ascii="Arial" w:hAnsi="Arial" w:eastAsia="Arial"/>
                <w:b/>
                <w:color w:val="FFFFFF"/>
                <w:sz w:val="14"/>
              </w:rPr>
              <w:t>Must contain</w:t>
            </w:r>
          </w:p>
        </w:tc>
      </w:tr>
      <w:tr>
        <w:trPr>
          <w:cantSplit/>
        </w:trPr>
        <w:tc>
          <w:tcPr>
            <w:tcW w:type="dxa" w:w="2160"/>
            <w:vAlign w:val="center"/>
          </w:tcPr>
          <w:p>
            <w:pPr>
              <w:spacing w:after="0" w:before="0"/>
            </w:pPr>
            <w:r/>
            <w:r>
              <w:rPr>
                <w:rFonts w:ascii="Arial" w:hAnsi="Arial" w:eastAsia="Arial"/>
                <w:b w:val="0"/>
                <w:sz w:val="14"/>
              </w:rPr>
              <w:t>Local-run runbook</w:t>
            </w:r>
          </w:p>
        </w:tc>
        <w:tc>
          <w:tcPr>
            <w:tcW w:type="dxa" w:w="3600"/>
            <w:vAlign w:val="center"/>
          </w:tcPr>
          <w:p>
            <w:pPr>
              <w:spacing w:after="0" w:before="0"/>
            </w:pPr>
            <w:r/>
            <w:r>
              <w:rPr>
                <w:rFonts w:ascii="Arial" w:hAnsi="Arial" w:eastAsia="Arial"/>
                <w:b w:val="0"/>
                <w:sz w:val="14"/>
              </w:rPr>
              <w:t>README.md</w:t>
            </w:r>
          </w:p>
        </w:tc>
        <w:tc>
          <w:tcPr>
            <w:tcW w:type="dxa" w:w="4896"/>
            <w:vAlign w:val="center"/>
          </w:tcPr>
          <w:p>
            <w:pPr>
              <w:spacing w:after="0" w:before="0"/>
            </w:pPr>
            <w:r/>
            <w:r>
              <w:rPr>
                <w:rFonts w:ascii="Arial" w:hAnsi="Arial" w:eastAsia="Arial"/>
                <w:b w:val="0"/>
                <w:sz w:val="14"/>
              </w:rPr>
              <w:t>single-command run; how to regenerate traces (Phoenix) and the eval; committed sample inputs</w:t>
            </w:r>
          </w:p>
        </w:tc>
      </w:tr>
      <w:tr>
        <w:trPr>
          <w:cantSplit/>
        </w:trPr>
        <w:tc>
          <w:tcPr>
            <w:tcW w:type="dxa" w:w="2160"/>
            <w:vAlign w:val="center"/>
            <w:shd w:fill="EEF3F8"/>
          </w:tcPr>
          <w:p>
            <w:pPr>
              <w:spacing w:after="0" w:before="0"/>
            </w:pPr>
            <w:r/>
            <w:r>
              <w:rPr>
                <w:rFonts w:ascii="Arial" w:hAnsi="Arial" w:eastAsia="Arial"/>
                <w:b w:val="0"/>
                <w:sz w:val="14"/>
              </w:rPr>
              <w:t>Bonus</w:t>
            </w:r>
          </w:p>
        </w:tc>
        <w:tc>
          <w:tcPr>
            <w:tcW w:type="dxa" w:w="3600"/>
            <w:vAlign w:val="center"/>
            <w:shd w:fill="EEF3F8"/>
          </w:tcPr>
          <w:p>
            <w:pPr>
              <w:spacing w:after="0" w:before="0"/>
            </w:pPr>
            <w:r/>
            <w:r>
              <w:rPr>
                <w:rFonts w:ascii="Arial" w:hAnsi="Arial" w:eastAsia="Arial"/>
                <w:b w:val="0"/>
                <w:sz w:val="14"/>
              </w:rPr>
              <w:t>src/api/ (FastAPI streaming)</w:t>
            </w:r>
          </w:p>
        </w:tc>
        <w:tc>
          <w:tcPr>
            <w:tcW w:type="dxa" w:w="4896"/>
            <w:vAlign w:val="center"/>
            <w:shd w:fill="EEF3F8"/>
          </w:tcPr>
          <w:p>
            <w:pPr>
              <w:spacing w:after="0" w:before="0"/>
            </w:pPr>
            <w:r/>
            <w:r>
              <w:rPr>
                <w:rFonts w:ascii="Arial" w:hAnsi="Arial" w:eastAsia="Arial"/>
                <w:b w:val="0"/>
                <w:sz w:val="14"/>
              </w:rPr>
              <w:t>OPTIONAL: async FastAPI streaming endpoint — extra credit, not required</w:t>
            </w:r>
          </w:p>
        </w:tc>
      </w:tr>
    </w:tbl>
    <w:p>
      <w:pPr>
        <w:spacing w:after="0"/>
      </w:pPr>
    </w:p>
    <w:p>
      <w:pPr>
        <w:pStyle w:val="Heading1"/>
      </w:pPr>
      <w:r>
        <w:t>8. Producing the Evidence — Format &amp; Where to Obtain</w:t>
      </w:r>
    </w:p>
    <w:p>
      <w:pPr>
        <w:spacing w:after="100"/>
      </w:pPr>
      <w:r>
        <w:rPr>
          <w:i w:val="0"/>
        </w:rPr>
        <w:t>Every evidence artifact must be produced by committed code and committed in the format shown below. This tells you the exact format and the tool / method to generate each one, so “observability” or “cost governance” becomes a concrete file you generate — not a slide. Enable Arize Phoenix locally (`pip install arize-phoenix openinference-instrumentation-langchain`; the UI runs at localhost:6006) — it is the single source your traces, latency, token and cost evidence come from.</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160"/>
            <w:vAlign w:val="center"/>
            <w:shd w:fill="17365D"/>
          </w:tcPr>
          <w:p>
            <w:pPr>
              <w:spacing w:after="0" w:before="0"/>
            </w:pPr>
            <w:r/>
            <w:r>
              <w:rPr>
                <w:rFonts w:ascii="Arial" w:hAnsi="Arial" w:eastAsia="Arial"/>
                <w:b/>
                <w:color w:val="FFFFFF"/>
                <w:sz w:val="14"/>
              </w:rPr>
              <w:t>Artifact</w:t>
            </w:r>
          </w:p>
        </w:tc>
        <w:tc>
          <w:tcPr>
            <w:tcW w:type="dxa" w:w="2160"/>
            <w:vAlign w:val="center"/>
            <w:shd w:fill="17365D"/>
          </w:tcPr>
          <w:p>
            <w:pPr>
              <w:spacing w:after="0" w:before="0"/>
            </w:pPr>
            <w:r/>
            <w:r>
              <w:rPr>
                <w:rFonts w:ascii="Arial" w:hAnsi="Arial" w:eastAsia="Arial"/>
                <w:b/>
                <w:color w:val="FFFFFF"/>
                <w:sz w:val="14"/>
              </w:rPr>
              <w:t>Format</w:t>
            </w:r>
          </w:p>
        </w:tc>
        <w:tc>
          <w:tcPr>
            <w:tcW w:type="dxa" w:w="6336"/>
            <w:vAlign w:val="center"/>
            <w:shd w:fill="17365D"/>
          </w:tcPr>
          <w:p>
            <w:pPr>
              <w:spacing w:after="0" w:before="0"/>
            </w:pPr>
            <w:r/>
            <w:r>
              <w:rPr>
                <w:rFonts w:ascii="Arial" w:hAnsi="Arial" w:eastAsia="Arial"/>
                <w:b/>
                <w:color w:val="FFFFFF"/>
                <w:sz w:val="14"/>
              </w:rPr>
              <w:t>How to produce it / where to get it</w:t>
            </w:r>
          </w:p>
        </w:tc>
      </w:tr>
      <w:tr>
        <w:trPr>
          <w:cantSplit/>
        </w:trPr>
        <w:tc>
          <w:tcPr>
            <w:tcW w:type="dxa" w:w="2160"/>
            <w:vAlign w:val="center"/>
          </w:tcPr>
          <w:p>
            <w:pPr>
              <w:spacing w:after="0" w:before="0"/>
            </w:pPr>
            <w:r/>
            <w:r>
              <w:rPr>
                <w:rFonts w:ascii="Arial" w:hAnsi="Arial" w:eastAsia="Arial"/>
                <w:b w:val="0"/>
                <w:sz w:val="14"/>
              </w:rPr>
              <w:t>Phoenix trace export</w:t>
            </w:r>
          </w:p>
        </w:tc>
        <w:tc>
          <w:tcPr>
            <w:tcW w:type="dxa" w:w="2160"/>
            <w:vAlign w:val="center"/>
          </w:tcPr>
          <w:p>
            <w:pPr>
              <w:spacing w:after="0" w:before="0"/>
            </w:pPr>
            <w:r/>
            <w:r>
              <w:rPr>
                <w:rFonts w:ascii="Arial" w:hAnsi="Arial" w:eastAsia="Arial"/>
                <w:b w:val="0"/>
                <w:sz w:val="14"/>
              </w:rPr>
              <w:t>Parquet or JSONL of OTel spans</w:t>
            </w:r>
          </w:p>
        </w:tc>
        <w:tc>
          <w:tcPr>
            <w:tcW w:type="dxa" w:w="6336"/>
            <w:vAlign w:val="center"/>
          </w:tcPr>
          <w:p>
            <w:pPr>
              <w:spacing w:after="0" w:before="0"/>
            </w:pPr>
            <w:r/>
            <w:r>
              <w:rPr>
                <w:rFonts w:ascii="Arial" w:hAnsi="Arial" w:eastAsia="Arial"/>
                <w:b w:val="0"/>
                <w:sz w:val="14"/>
              </w:rPr>
              <w:t>Turn on Phoenix tracing (openinference-instrumentation-langchain), run one full conversation, then export: px.Client().get_spans_dataframe().to_parquet('traces/phoenix_spans.parquet').</w:t>
            </w:r>
          </w:p>
        </w:tc>
      </w:tr>
      <w:tr>
        <w:trPr>
          <w:cantSplit/>
        </w:trPr>
        <w:tc>
          <w:tcPr>
            <w:tcW w:type="dxa" w:w="2160"/>
            <w:vAlign w:val="center"/>
            <w:shd w:fill="EEF3F8"/>
          </w:tcPr>
          <w:p>
            <w:pPr>
              <w:spacing w:after="0" w:before="0"/>
            </w:pPr>
            <w:r/>
            <w:r>
              <w:rPr>
                <w:rFonts w:ascii="Arial" w:hAnsi="Arial" w:eastAsia="Arial"/>
                <w:b w:val="0"/>
                <w:sz w:val="14"/>
              </w:rPr>
              <w:t>Tool-invocation log</w:t>
            </w:r>
          </w:p>
        </w:tc>
        <w:tc>
          <w:tcPr>
            <w:tcW w:type="dxa" w:w="2160"/>
            <w:vAlign w:val="center"/>
            <w:shd w:fill="EEF3F8"/>
          </w:tcPr>
          <w:p>
            <w:pPr>
              <w:spacing w:after="0" w:before="0"/>
            </w:pPr>
            <w:r/>
            <w:r>
              <w:rPr>
                <w:rFonts w:ascii="Arial" w:hAnsi="Arial" w:eastAsia="Arial"/>
                <w:b w:val="0"/>
                <w:sz w:val="14"/>
              </w:rPr>
              <w:t>JSONL — one object per tool call</w:t>
            </w:r>
          </w:p>
        </w:tc>
        <w:tc>
          <w:tcPr>
            <w:tcW w:type="dxa" w:w="6336"/>
            <w:vAlign w:val="center"/>
            <w:shd w:fill="EEF3F8"/>
          </w:tcPr>
          <w:p>
            <w:pPr>
              <w:spacing w:after="0" w:before="0"/>
            </w:pPr>
            <w:r/>
            <w:r>
              <w:rPr>
                <w:rFonts w:ascii="Arial" w:hAnsi="Arial" w:eastAsia="Arial"/>
                <w:b w:val="0"/>
                <w:sz w:val="14"/>
              </w:rPr>
              <w:t>A logging wrapper/decorator on every tool that appends {timestamp, agent, tool_name, args, result, latency_ms, status} to logs/tool_calls.jsonl.</w:t>
            </w:r>
          </w:p>
        </w:tc>
      </w:tr>
      <w:tr>
        <w:trPr>
          <w:cantSplit/>
        </w:trPr>
        <w:tc>
          <w:tcPr>
            <w:tcW w:type="dxa" w:w="2160"/>
            <w:vAlign w:val="center"/>
          </w:tcPr>
          <w:p>
            <w:pPr>
              <w:spacing w:after="0" w:before="0"/>
            </w:pPr>
            <w:r/>
            <w:r>
              <w:rPr>
                <w:rFonts w:ascii="Arial" w:hAnsi="Arial" w:eastAsia="Arial"/>
                <w:b w:val="0"/>
                <w:sz w:val="14"/>
              </w:rPr>
              <w:t>Failure-mode analysis</w:t>
            </w:r>
          </w:p>
        </w:tc>
        <w:tc>
          <w:tcPr>
            <w:tcW w:type="dxa" w:w="2160"/>
            <w:vAlign w:val="center"/>
          </w:tcPr>
          <w:p>
            <w:pPr>
              <w:spacing w:after="0" w:before="0"/>
            </w:pPr>
            <w:r/>
            <w:r>
              <w:rPr>
                <w:rFonts w:ascii="Arial" w:hAnsi="Arial" w:eastAsia="Arial"/>
                <w:b w:val="0"/>
                <w:sz w:val="14"/>
              </w:rPr>
              <w:t>Markdown</w:t>
            </w:r>
          </w:p>
        </w:tc>
        <w:tc>
          <w:tcPr>
            <w:tcW w:type="dxa" w:w="6336"/>
            <w:vAlign w:val="center"/>
          </w:tcPr>
          <w:p>
            <w:pPr>
              <w:spacing w:after="0" w:before="0"/>
            </w:pPr>
            <w:r/>
            <w:r>
              <w:rPr>
                <w:rFonts w:ascii="Arial" w:hAnsi="Arial" w:eastAsia="Arial"/>
                <w:b w:val="0"/>
                <w:sz w:val="14"/>
              </w:rPr>
              <w:t>Open your Phoenix traces, pick ≥ 3 real failures, write each up citing its run_id + span_id, with root cause and the fix.</w:t>
            </w:r>
          </w:p>
        </w:tc>
      </w:tr>
      <w:tr>
        <w:trPr>
          <w:cantSplit/>
        </w:trPr>
        <w:tc>
          <w:tcPr>
            <w:tcW w:type="dxa" w:w="2160"/>
            <w:vAlign w:val="center"/>
            <w:shd w:fill="EEF3F8"/>
          </w:tcPr>
          <w:p>
            <w:pPr>
              <w:spacing w:after="0" w:before="0"/>
            </w:pPr>
            <w:r/>
            <w:r>
              <w:rPr>
                <w:rFonts w:ascii="Arial" w:hAnsi="Arial" w:eastAsia="Arial"/>
                <w:b w:val="0"/>
                <w:sz w:val="14"/>
              </w:rPr>
              <w:t>Golden-signals report</w:t>
            </w:r>
          </w:p>
        </w:tc>
        <w:tc>
          <w:tcPr>
            <w:tcW w:type="dxa" w:w="2160"/>
            <w:vAlign w:val="center"/>
            <w:shd w:fill="EEF3F8"/>
          </w:tcPr>
          <w:p>
            <w:pPr>
              <w:spacing w:after="0" w:before="0"/>
            </w:pPr>
            <w:r/>
            <w:r>
              <w:rPr>
                <w:rFonts w:ascii="Arial" w:hAnsi="Arial" w:eastAsia="Arial"/>
                <w:b w:val="0"/>
                <w:sz w:val="14"/>
              </w:rPr>
              <w:t>JSON</w:t>
            </w:r>
          </w:p>
        </w:tc>
        <w:tc>
          <w:tcPr>
            <w:tcW w:type="dxa" w:w="6336"/>
            <w:vAlign w:val="center"/>
            <w:shd w:fill="EEF3F8"/>
          </w:tcPr>
          <w:p>
            <w:pPr>
              <w:spacing w:after="0" w:before="0"/>
            </w:pPr>
            <w:r/>
            <w:r>
              <w:rPr>
                <w:rFonts w:ascii="Arial" w:hAnsi="Arial" w:eastAsia="Arial"/>
                <w:b w:val="0"/>
                <w:sz w:val="14"/>
              </w:rPr>
              <w:t>A script reads the Phoenix spans (get_spans_dataframe()): p50/p95 latency by span type (thinking / acting / tool), token totals from LLM spans, cost = tokens × price; import accuracy + hallucination from the eval report; write reports/golden_signals.json.</w:t>
            </w:r>
          </w:p>
        </w:tc>
      </w:tr>
      <w:tr>
        <w:trPr>
          <w:cantSplit/>
        </w:trPr>
        <w:tc>
          <w:tcPr>
            <w:tcW w:type="dxa" w:w="2160"/>
            <w:vAlign w:val="center"/>
          </w:tcPr>
          <w:p>
            <w:pPr>
              <w:spacing w:after="0" w:before="0"/>
            </w:pPr>
            <w:r/>
            <w:r>
              <w:rPr>
                <w:rFonts w:ascii="Arial" w:hAnsi="Arial" w:eastAsia="Arial"/>
                <w:b w:val="0"/>
                <w:sz w:val="14"/>
              </w:rPr>
              <w:t>Cost/latency dashboard</w:t>
            </w:r>
          </w:p>
        </w:tc>
        <w:tc>
          <w:tcPr>
            <w:tcW w:type="dxa" w:w="2160"/>
            <w:vAlign w:val="center"/>
          </w:tcPr>
          <w:p>
            <w:pPr>
              <w:spacing w:after="0" w:before="0"/>
            </w:pPr>
            <w:r/>
            <w:r>
              <w:rPr>
                <w:rFonts w:ascii="Arial" w:hAnsi="Arial" w:eastAsia="Arial"/>
                <w:b w:val="0"/>
                <w:sz w:val="14"/>
              </w:rPr>
              <w:t>PNG + CSV</w:t>
            </w:r>
          </w:p>
        </w:tc>
        <w:tc>
          <w:tcPr>
            <w:tcW w:type="dxa" w:w="6336"/>
            <w:vAlign w:val="center"/>
          </w:tcPr>
          <w:p>
            <w:pPr>
              <w:spacing w:after="0" w:before="0"/>
            </w:pPr>
            <w:r/>
            <w:r>
              <w:rPr>
                <w:rFonts w:ascii="Arial" w:hAnsi="Arial" w:eastAsia="Arial"/>
                <w:b w:val="0"/>
                <w:sz w:val="14"/>
              </w:rPr>
              <w:t>Phoenix UI (localhost:6006) shows latency / cost / token dashboards — screenshot one; export the data with get_spans_dataframe().to_csv('reports/dashboard_data.csv').</w:t>
            </w:r>
          </w:p>
        </w:tc>
      </w:tr>
      <w:tr>
        <w:trPr>
          <w:cantSplit/>
        </w:trPr>
        <w:tc>
          <w:tcPr>
            <w:tcW w:type="dxa" w:w="2160"/>
            <w:vAlign w:val="center"/>
            <w:shd w:fill="EEF3F8"/>
          </w:tcPr>
          <w:p>
            <w:pPr>
              <w:spacing w:after="0" w:before="0"/>
            </w:pPr>
            <w:r/>
            <w:r>
              <w:rPr>
                <w:rFonts w:ascii="Arial" w:hAnsi="Arial" w:eastAsia="Arial"/>
                <w:b w:val="0"/>
                <w:sz w:val="14"/>
              </w:rPr>
              <w:t>Guardrail code</w:t>
            </w:r>
          </w:p>
        </w:tc>
        <w:tc>
          <w:tcPr>
            <w:tcW w:type="dxa" w:w="2160"/>
            <w:vAlign w:val="center"/>
            <w:shd w:fill="EEF3F8"/>
          </w:tcPr>
          <w:p>
            <w:pPr>
              <w:spacing w:after="0" w:before="0"/>
            </w:pPr>
            <w:r/>
            <w:r>
              <w:rPr>
                <w:rFonts w:ascii="Arial" w:hAnsi="Arial" w:eastAsia="Arial"/>
                <w:b w:val="0"/>
                <w:sz w:val="14"/>
              </w:rPr>
              <w:t>Python module</w:t>
            </w:r>
          </w:p>
        </w:tc>
        <w:tc>
          <w:tcPr>
            <w:tcW w:type="dxa" w:w="6336"/>
            <w:vAlign w:val="center"/>
            <w:shd w:fill="EEF3F8"/>
          </w:tcPr>
          <w:p>
            <w:pPr>
              <w:spacing w:after="0" w:before="0"/>
            </w:pPr>
            <w:r/>
            <w:r>
              <w:rPr>
                <w:rFonts w:ascii="Arial" w:hAnsi="Arial" w:eastAsia="Arial"/>
                <w:b w:val="0"/>
                <w:sz w:val="14"/>
              </w:rPr>
              <w:t>Guardrails-AI / LLM Guard validators (or policy functions) wrapped around the agent's input and output, wired into the graph's I/O nodes.</w:t>
            </w:r>
          </w:p>
        </w:tc>
      </w:tr>
      <w:tr>
        <w:trPr>
          <w:cantSplit/>
        </w:trPr>
        <w:tc>
          <w:tcPr>
            <w:tcW w:type="dxa" w:w="2160"/>
            <w:vAlign w:val="center"/>
          </w:tcPr>
          <w:p>
            <w:pPr>
              <w:spacing w:after="0" w:before="0"/>
            </w:pPr>
            <w:r/>
            <w:r>
              <w:rPr>
                <w:rFonts w:ascii="Arial" w:hAnsi="Arial" w:eastAsia="Arial"/>
                <w:b w:val="0"/>
                <w:sz w:val="14"/>
              </w:rPr>
              <w:t>Audit trail</w:t>
            </w:r>
          </w:p>
        </w:tc>
        <w:tc>
          <w:tcPr>
            <w:tcW w:type="dxa" w:w="2160"/>
            <w:vAlign w:val="center"/>
          </w:tcPr>
          <w:p>
            <w:pPr>
              <w:spacing w:after="0" w:before="0"/>
            </w:pPr>
            <w:r/>
            <w:r>
              <w:rPr>
                <w:rFonts w:ascii="Arial" w:hAnsi="Arial" w:eastAsia="Arial"/>
                <w:b w:val="0"/>
                <w:sz w:val="14"/>
              </w:rPr>
              <w:t>JSONL</w:t>
            </w:r>
          </w:p>
        </w:tc>
        <w:tc>
          <w:tcPr>
            <w:tcW w:type="dxa" w:w="6336"/>
            <w:vAlign w:val="center"/>
          </w:tcPr>
          <w:p>
            <w:pPr>
              <w:spacing w:after="0" w:before="0"/>
            </w:pPr>
            <w:r/>
            <w:r>
              <w:rPr>
                <w:rFonts w:ascii="Arial" w:hAnsi="Arial" w:eastAsia="Arial"/>
                <w:b w:val="0"/>
                <w:sz w:val="14"/>
              </w:rPr>
              <w:t>Audit middleware that appends {actor, action, tool, decision, timestamp} for each consequential action to logs/agent_actions.jsonl.</w:t>
            </w:r>
          </w:p>
        </w:tc>
      </w:tr>
      <w:tr>
        <w:trPr>
          <w:cantSplit/>
        </w:trPr>
        <w:tc>
          <w:tcPr>
            <w:tcW w:type="dxa" w:w="2160"/>
            <w:vAlign w:val="center"/>
            <w:shd w:fill="EEF3F8"/>
          </w:tcPr>
          <w:p>
            <w:pPr>
              <w:spacing w:after="0" w:before="0"/>
            </w:pPr>
            <w:r/>
            <w:r>
              <w:rPr>
                <w:rFonts w:ascii="Arial" w:hAnsi="Arial" w:eastAsia="Arial"/>
                <w:b w:val="0"/>
                <w:sz w:val="14"/>
              </w:rPr>
              <w:t>Governance pack</w:t>
            </w:r>
          </w:p>
        </w:tc>
        <w:tc>
          <w:tcPr>
            <w:tcW w:type="dxa" w:w="2160"/>
            <w:vAlign w:val="center"/>
            <w:shd w:fill="EEF3F8"/>
          </w:tcPr>
          <w:p>
            <w:pPr>
              <w:spacing w:after="0" w:before="0"/>
            </w:pPr>
            <w:r/>
            <w:r>
              <w:rPr>
                <w:rFonts w:ascii="Arial" w:hAnsi="Arial" w:eastAsia="Arial"/>
                <w:b w:val="0"/>
                <w:sz w:val="14"/>
              </w:rPr>
              <w:t>Markdown</w:t>
            </w:r>
          </w:p>
        </w:tc>
        <w:tc>
          <w:tcPr>
            <w:tcW w:type="dxa" w:w="6336"/>
            <w:vAlign w:val="center"/>
            <w:shd w:fill="EEF3F8"/>
          </w:tcPr>
          <w:p>
            <w:pPr>
              <w:spacing w:after="0" w:before="0"/>
            </w:pPr>
            <w:r/>
            <w:r>
              <w:rPr>
                <w:rFonts w:ascii="Arial" w:hAnsi="Arial" w:eastAsia="Arial"/>
                <w:b w:val="0"/>
                <w:sz w:val="14"/>
              </w:rPr>
              <w:t>risk-register.md, model-card.md, compliance.md, output-risk.md — each entry cites the committed control/artifact it refers to.</w:t>
            </w:r>
          </w:p>
        </w:tc>
      </w:tr>
      <w:tr>
        <w:trPr>
          <w:cantSplit/>
        </w:trPr>
        <w:tc>
          <w:tcPr>
            <w:tcW w:type="dxa" w:w="2160"/>
            <w:vAlign w:val="center"/>
          </w:tcPr>
          <w:p>
            <w:pPr>
              <w:spacing w:after="0" w:before="0"/>
            </w:pPr>
            <w:r/>
            <w:r>
              <w:rPr>
                <w:rFonts w:ascii="Arial" w:hAnsi="Arial" w:eastAsia="Arial"/>
                <w:b w:val="0"/>
                <w:sz w:val="14"/>
              </w:rPr>
              <w:t>Evaluation report</w:t>
            </w:r>
          </w:p>
        </w:tc>
        <w:tc>
          <w:tcPr>
            <w:tcW w:type="dxa" w:w="2160"/>
            <w:vAlign w:val="center"/>
          </w:tcPr>
          <w:p>
            <w:pPr>
              <w:spacing w:after="0" w:before="0"/>
            </w:pPr>
            <w:r/>
            <w:r>
              <w:rPr>
                <w:rFonts w:ascii="Arial" w:hAnsi="Arial" w:eastAsia="Arial"/>
                <w:b w:val="0"/>
                <w:sz w:val="14"/>
              </w:rPr>
              <w:t>JSON</w:t>
            </w:r>
          </w:p>
        </w:tc>
        <w:tc>
          <w:tcPr>
            <w:tcW w:type="dxa" w:w="6336"/>
            <w:vAlign w:val="center"/>
          </w:tcPr>
          <w:p>
            <w:pPr>
              <w:spacing w:after="0" w:before="0"/>
            </w:pPr>
            <w:r/>
            <w:r>
              <w:rPr>
                <w:rFonts w:ascii="Arial" w:hAnsi="Arial" w:eastAsia="Arial"/>
                <w:b w:val="0"/>
                <w:sz w:val="14"/>
              </w:rPr>
              <w:t>A DeepEval run over your golden set (hallucination, faithfulness, answer-relevance) that writes reports/eval_report.json, plus the harness.</w:t>
            </w:r>
          </w:p>
        </w:tc>
      </w:tr>
      <w:tr>
        <w:trPr>
          <w:cantSplit/>
        </w:trPr>
        <w:tc>
          <w:tcPr>
            <w:tcW w:type="dxa" w:w="2160"/>
            <w:vAlign w:val="center"/>
            <w:shd w:fill="EEF3F8"/>
          </w:tcPr>
          <w:p>
            <w:pPr>
              <w:spacing w:after="0" w:before="0"/>
            </w:pPr>
            <w:r/>
            <w:r>
              <w:rPr>
                <w:rFonts w:ascii="Arial" w:hAnsi="Arial" w:eastAsia="Arial"/>
                <w:b w:val="0"/>
                <w:sz w:val="14"/>
              </w:rPr>
              <w:t>Agent tests</w:t>
            </w:r>
          </w:p>
        </w:tc>
        <w:tc>
          <w:tcPr>
            <w:tcW w:type="dxa" w:w="2160"/>
            <w:vAlign w:val="center"/>
            <w:shd w:fill="EEF3F8"/>
          </w:tcPr>
          <w:p>
            <w:pPr>
              <w:spacing w:after="0" w:before="0"/>
            </w:pPr>
            <w:r/>
            <w:r>
              <w:rPr>
                <w:rFonts w:ascii="Arial" w:hAnsi="Arial" w:eastAsia="Arial"/>
                <w:b w:val="0"/>
                <w:sz w:val="14"/>
              </w:rPr>
              <w:t>pytest files</w:t>
            </w:r>
          </w:p>
        </w:tc>
        <w:tc>
          <w:tcPr>
            <w:tcW w:type="dxa" w:w="6336"/>
            <w:vAlign w:val="center"/>
            <w:shd w:fill="EEF3F8"/>
          </w:tcPr>
          <w:p>
            <w:pPr>
              <w:spacing w:after="0" w:before="0"/>
            </w:pPr>
            <w:r/>
            <w:r>
              <w:rPr>
                <w:rFonts w:ascii="Arial" w:hAnsi="Arial" w:eastAsia="Arial"/>
                <w:b w:val="0"/>
                <w:sz w:val="14"/>
              </w:rPr>
              <w:t>tests/test_routing.py (routing), tests/test_loops.py (recursion/step limit), tests/test_tool_contracts.py (I/O schema + error path).</w:t>
            </w:r>
          </w:p>
        </w:tc>
      </w:tr>
    </w:tbl>
    <w:p>
      <w:pPr>
        <w:spacing w:after="0"/>
      </w:pPr>
    </w:p>
    <w:p>
      <w:pPr>
        <w:pStyle w:val="Heading2"/>
      </w:pPr>
      <w:r>
        <w:t>8.1 Good-to-Have</w:t>
      </w:r>
    </w:p>
    <w:p>
      <w:pPr>
        <w:pStyle w:val="ListBullet"/>
        <w:spacing w:after="40"/>
      </w:pPr>
      <w:r>
        <w:t>FastAPI streaming endpoint; a demonstrated local run (screenshot/log).</w:t>
      </w:r>
    </w:p>
    <w:p>
      <w:pPr>
        <w:pStyle w:val="ListBullet"/>
        <w:spacing w:after="40"/>
      </w:pPr>
      <w:r>
        <w:t>PII-redaction middleware (Presidio) with a before/after sample; a small red-team attack set + results.</w:t>
      </w:r>
    </w:p>
    <w:p>
      <w:pPr>
        <w:pStyle w:val="ListBullet"/>
        <w:spacing w:after="40"/>
      </w:pPr>
      <w:r>
        <w:t>An optimization note showing a measured before/after latency or cost improvement (two Phoenix-derived reports).</w:t>
      </w:r>
    </w:p>
    <w:p>
      <w:pPr>
        <w:spacing w:after="100"/>
      </w:pPr>
      <w:r>
        <w:rPr>
          <w:i/>
        </w:rPr>
        <w:t>On completion you will have demonstrated the skill the industry actually screens for: not just building a LangGraph agent, but making a lending decision observable, cost-governed, secure, compliant and continuously evaluated — the full production surface of an agentic system, proven with committed evidence rather than a demo that worked once.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F9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F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Origination &amp; Underwriting Copilot</dc:title>
  <dc:subject>Extracted text from supplied screenshots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