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3D0" w:rsidRPr="00CC23D0" w:rsidRDefault="00CC23D0" w:rsidP="00CC23D0">
      <w:pPr>
        <w:spacing w:after="0"/>
        <w:jc w:val="center"/>
        <w:rPr>
          <w:rStyle w:val="markedcontent"/>
          <w:rFonts w:ascii="Times New Roman" w:hAnsi="Times New Roman" w:cs="Times New Roman"/>
          <w:sz w:val="28"/>
          <w:szCs w:val="28"/>
          <w:u w:val="single"/>
          <w:lang w:val="en-GB"/>
        </w:rPr>
      </w:pPr>
      <w:r w:rsidRPr="00CC23D0">
        <w:rPr>
          <w:rStyle w:val="markedcontent"/>
          <w:rFonts w:ascii="Times New Roman" w:hAnsi="Times New Roman" w:cs="Times New Roman"/>
          <w:sz w:val="28"/>
          <w:szCs w:val="28"/>
          <w:u w:val="single"/>
          <w:lang w:val="en-GB"/>
        </w:rPr>
        <w:t>Solutions to Risk Analysis Assignment 2</w:t>
      </w:r>
    </w:p>
    <w:p w:rsidR="00BC641F" w:rsidRPr="00C368DB" w:rsidRDefault="00B2077E" w:rsidP="00C368DB">
      <w:pPr>
        <w:pStyle w:val="ListParagraph"/>
        <w:numPr>
          <w:ilvl w:val="0"/>
          <w:numId w:val="2"/>
        </w:numPr>
        <w:spacing w:after="0"/>
        <w:ind w:left="284" w:hanging="284"/>
        <w:rPr>
          <w:rFonts w:ascii="Times New Roman" w:hAnsi="Times New Roman" w:cs="Times New Roman"/>
          <w:sz w:val="28"/>
          <w:szCs w:val="28"/>
        </w:rPr>
      </w:pPr>
      <w:r w:rsidRPr="00C368DB">
        <w:rPr>
          <w:rStyle w:val="markedcontent"/>
          <w:rFonts w:ascii="Times New Roman" w:hAnsi="Times New Roman" w:cs="Times New Roman"/>
          <w:sz w:val="28"/>
          <w:szCs w:val="28"/>
          <w:lang w:val="en-GB"/>
        </w:rPr>
        <w:t>Mean of log stock returns of the companies</w:t>
      </w:r>
      <w:r w:rsidRPr="00C368DB">
        <w:rPr>
          <w:rFonts w:ascii="Times New Roman" w:hAnsi="Times New Roman" w:cs="Times New Roman"/>
          <w:sz w:val="28"/>
          <w:szCs w:val="28"/>
        </w:rPr>
        <w:t>.</w:t>
      </w:r>
    </w:p>
    <w:tbl>
      <w:tblPr>
        <w:tblW w:w="6641" w:type="dxa"/>
        <w:tblInd w:w="1325" w:type="dxa"/>
        <w:tblLook w:val="04A0"/>
      </w:tblPr>
      <w:tblGrid>
        <w:gridCol w:w="1618"/>
        <w:gridCol w:w="3402"/>
        <w:gridCol w:w="1621"/>
      </w:tblGrid>
      <w:tr w:rsidR="00BC641F" w:rsidRPr="00C368DB" w:rsidTr="00BD5EBF">
        <w:trPr>
          <w:trHeight w:val="300"/>
        </w:trPr>
        <w:tc>
          <w:tcPr>
            <w:tcW w:w="1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Company</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proofErr w:type="spellStart"/>
            <w:r w:rsidRPr="00C368DB">
              <w:rPr>
                <w:rFonts w:ascii="Times New Roman" w:eastAsia="Times New Roman" w:hAnsi="Times New Roman" w:cs="Times New Roman"/>
                <w:color w:val="000000"/>
                <w:sz w:val="28"/>
                <w:szCs w:val="28"/>
              </w:rPr>
              <w:t>mean_log_return</w:t>
            </w:r>
            <w:proofErr w:type="spellEnd"/>
            <w:r w:rsidR="00F03C82" w:rsidRPr="00C368DB">
              <w:rPr>
                <w:rFonts w:ascii="Times New Roman" w:eastAsia="Times New Roman" w:hAnsi="Times New Roman" w:cs="Times New Roman"/>
                <w:color w:val="000000"/>
                <w:sz w:val="28"/>
                <w:szCs w:val="28"/>
              </w:rPr>
              <w:t xml:space="preserve"> </w:t>
            </w:r>
            <w:r w:rsidRPr="00C368DB">
              <w:rPr>
                <w:rFonts w:ascii="Times New Roman" w:eastAsia="Times New Roman" w:hAnsi="Times New Roman" w:cs="Times New Roman"/>
                <w:color w:val="000000"/>
                <w:sz w:val="28"/>
                <w:szCs w:val="28"/>
              </w:rPr>
              <w:t>(</w:t>
            </w:r>
            <w:proofErr w:type="spellStart"/>
            <w:r w:rsidRPr="00C368DB">
              <w:rPr>
                <w:rFonts w:ascii="Times New Roman" w:eastAsia="Times New Roman" w:hAnsi="Times New Roman" w:cs="Times New Roman"/>
                <w:color w:val="000000"/>
                <w:sz w:val="28"/>
                <w:szCs w:val="28"/>
              </w:rPr>
              <w:t>mlr</w:t>
            </w:r>
            <w:proofErr w:type="spellEnd"/>
            <w:r w:rsidRPr="00C368DB">
              <w:rPr>
                <w:rFonts w:ascii="Times New Roman" w:eastAsia="Times New Roman" w:hAnsi="Times New Roman" w:cs="Times New Roman"/>
                <w:color w:val="000000"/>
                <w:sz w:val="28"/>
                <w:szCs w:val="28"/>
              </w:rPr>
              <w:t>)</w:t>
            </w:r>
          </w:p>
        </w:tc>
        <w:tc>
          <w:tcPr>
            <w:tcW w:w="1621" w:type="dxa"/>
            <w:tcBorders>
              <w:top w:val="single" w:sz="4" w:space="0" w:color="auto"/>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round(</w:t>
            </w:r>
            <w:proofErr w:type="spellStart"/>
            <w:r w:rsidRPr="00C368DB">
              <w:rPr>
                <w:rFonts w:ascii="Times New Roman" w:eastAsia="Times New Roman" w:hAnsi="Times New Roman" w:cs="Times New Roman"/>
                <w:color w:val="000000"/>
                <w:sz w:val="28"/>
                <w:szCs w:val="28"/>
              </w:rPr>
              <w:t>mlr</w:t>
            </w:r>
            <w:proofErr w:type="spellEnd"/>
            <w:r w:rsidRPr="00C368DB">
              <w:rPr>
                <w:rFonts w:ascii="Times New Roman" w:eastAsia="Times New Roman" w:hAnsi="Times New Roman" w:cs="Times New Roman"/>
                <w:color w:val="000000"/>
                <w:sz w:val="28"/>
                <w:szCs w:val="28"/>
              </w:rPr>
              <w:t>)</w:t>
            </w:r>
          </w:p>
        </w:tc>
      </w:tr>
      <w:tr w:rsidR="00BC641F"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MSFT</w:t>
            </w:r>
          </w:p>
        </w:tc>
        <w:tc>
          <w:tcPr>
            <w:tcW w:w="3402"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0.000796584</w:t>
            </w:r>
          </w:p>
        </w:tc>
        <w:tc>
          <w:tcPr>
            <w:tcW w:w="1621"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8.00E-04</w:t>
            </w:r>
          </w:p>
        </w:tc>
      </w:tr>
      <w:tr w:rsidR="00BC641F"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APPL</w:t>
            </w:r>
          </w:p>
        </w:tc>
        <w:tc>
          <w:tcPr>
            <w:tcW w:w="3402"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0.001013657</w:t>
            </w:r>
          </w:p>
        </w:tc>
        <w:tc>
          <w:tcPr>
            <w:tcW w:w="1621"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1.00E-03</w:t>
            </w:r>
          </w:p>
        </w:tc>
      </w:tr>
      <w:tr w:rsidR="00BC641F"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KO</w:t>
            </w:r>
          </w:p>
        </w:tc>
        <w:tc>
          <w:tcPr>
            <w:tcW w:w="3402"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0.000223627</w:t>
            </w:r>
          </w:p>
        </w:tc>
        <w:tc>
          <w:tcPr>
            <w:tcW w:w="1621"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2.00E-04</w:t>
            </w:r>
          </w:p>
        </w:tc>
      </w:tr>
      <w:tr w:rsidR="00BC641F"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INTC</w:t>
            </w:r>
          </w:p>
        </w:tc>
        <w:tc>
          <w:tcPr>
            <w:tcW w:w="3402"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0.00033289</w:t>
            </w:r>
          </w:p>
        </w:tc>
        <w:tc>
          <w:tcPr>
            <w:tcW w:w="1621"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3.00E-04</w:t>
            </w:r>
          </w:p>
        </w:tc>
      </w:tr>
      <w:tr w:rsidR="00BC641F"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WMT</w:t>
            </w:r>
          </w:p>
        </w:tc>
        <w:tc>
          <w:tcPr>
            <w:tcW w:w="3402"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0.000345566</w:t>
            </w:r>
          </w:p>
        </w:tc>
        <w:tc>
          <w:tcPr>
            <w:tcW w:w="1621" w:type="dxa"/>
            <w:tcBorders>
              <w:top w:val="nil"/>
              <w:left w:val="nil"/>
              <w:bottom w:val="single" w:sz="4" w:space="0" w:color="auto"/>
              <w:right w:val="single" w:sz="4" w:space="0" w:color="auto"/>
            </w:tcBorders>
            <w:shd w:val="clear" w:color="auto" w:fill="auto"/>
            <w:noWrap/>
            <w:vAlign w:val="bottom"/>
            <w:hideMark/>
          </w:tcPr>
          <w:p w:rsidR="00BC641F" w:rsidRPr="00C368DB" w:rsidRDefault="00BC641F"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3.00E-04</w:t>
            </w:r>
          </w:p>
        </w:tc>
      </w:tr>
    </w:tbl>
    <w:p w:rsidR="00BC641F" w:rsidRPr="00C368DB" w:rsidRDefault="007146D2" w:rsidP="00C368DB">
      <w:pPr>
        <w:spacing w:after="0"/>
        <w:ind w:left="284"/>
        <w:rPr>
          <w:rFonts w:ascii="Times New Roman" w:hAnsi="Times New Roman" w:cs="Times New Roman"/>
          <w:sz w:val="28"/>
          <w:szCs w:val="28"/>
        </w:rPr>
      </w:pPr>
      <w:r w:rsidRPr="00C368DB">
        <w:rPr>
          <w:rFonts w:ascii="Times New Roman" w:hAnsi="Times New Roman" w:cs="Times New Roman"/>
          <w:sz w:val="28"/>
          <w:szCs w:val="28"/>
        </w:rPr>
        <w:t xml:space="preserve">All the companies are growing as mean value is positive for the given period of time and apparently Apple is </w:t>
      </w:r>
      <w:r w:rsidR="009F2435" w:rsidRPr="00C368DB">
        <w:rPr>
          <w:rFonts w:ascii="Times New Roman" w:hAnsi="Times New Roman" w:cs="Times New Roman"/>
          <w:sz w:val="28"/>
          <w:szCs w:val="28"/>
        </w:rPr>
        <w:t>growing faster as it has the highest mean value.</w:t>
      </w:r>
    </w:p>
    <w:p w:rsidR="00C368DB" w:rsidRPr="00C368DB" w:rsidRDefault="00C368DB" w:rsidP="00C368DB">
      <w:pPr>
        <w:spacing w:after="0"/>
        <w:ind w:left="284"/>
        <w:rPr>
          <w:rFonts w:ascii="Times New Roman" w:hAnsi="Times New Roman" w:cs="Times New Roman"/>
          <w:sz w:val="28"/>
          <w:szCs w:val="28"/>
        </w:rPr>
      </w:pPr>
    </w:p>
    <w:p w:rsidR="00BC641F" w:rsidRPr="00C368DB" w:rsidRDefault="00B2077E" w:rsidP="00C368DB">
      <w:pPr>
        <w:pStyle w:val="ListParagraph"/>
        <w:numPr>
          <w:ilvl w:val="0"/>
          <w:numId w:val="2"/>
        </w:numPr>
        <w:spacing w:after="0"/>
        <w:ind w:left="284" w:hanging="284"/>
        <w:rPr>
          <w:rStyle w:val="markedcontent"/>
          <w:rFonts w:ascii="Times New Roman" w:hAnsi="Times New Roman" w:cs="Times New Roman"/>
          <w:sz w:val="28"/>
          <w:szCs w:val="28"/>
        </w:rPr>
      </w:pPr>
      <w:r w:rsidRPr="00C368DB">
        <w:rPr>
          <w:rStyle w:val="markedcontent"/>
          <w:rFonts w:ascii="Times New Roman" w:hAnsi="Times New Roman" w:cs="Times New Roman"/>
          <w:sz w:val="28"/>
          <w:szCs w:val="28"/>
          <w:lang w:val="en-GB"/>
        </w:rPr>
        <w:t>Standard deviation of log stock returns of the companies</w:t>
      </w:r>
      <w:r w:rsidR="007146D2" w:rsidRPr="00C368DB">
        <w:rPr>
          <w:rStyle w:val="markedcontent"/>
          <w:rFonts w:ascii="Times New Roman" w:hAnsi="Times New Roman" w:cs="Times New Roman"/>
          <w:sz w:val="28"/>
          <w:szCs w:val="28"/>
          <w:lang w:val="en-GB"/>
        </w:rPr>
        <w:t>.</w:t>
      </w:r>
    </w:p>
    <w:tbl>
      <w:tblPr>
        <w:tblW w:w="6358" w:type="dxa"/>
        <w:tblInd w:w="1325" w:type="dxa"/>
        <w:tblLook w:val="04A0"/>
      </w:tblPr>
      <w:tblGrid>
        <w:gridCol w:w="1618"/>
        <w:gridCol w:w="3119"/>
        <w:gridCol w:w="1621"/>
      </w:tblGrid>
      <w:tr w:rsidR="009F2435" w:rsidRPr="00C368DB" w:rsidTr="00BD5EBF">
        <w:trPr>
          <w:trHeight w:val="300"/>
        </w:trPr>
        <w:tc>
          <w:tcPr>
            <w:tcW w:w="1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Company</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proofErr w:type="spellStart"/>
            <w:r w:rsidRPr="00C368DB">
              <w:rPr>
                <w:rFonts w:ascii="Times New Roman" w:eastAsia="Times New Roman" w:hAnsi="Times New Roman" w:cs="Times New Roman"/>
                <w:color w:val="000000"/>
                <w:sz w:val="28"/>
                <w:szCs w:val="28"/>
              </w:rPr>
              <w:t>sd_log_return</w:t>
            </w:r>
            <w:proofErr w:type="spellEnd"/>
            <w:r w:rsidRPr="00C368DB">
              <w:rPr>
                <w:rFonts w:ascii="Times New Roman" w:eastAsia="Times New Roman" w:hAnsi="Times New Roman" w:cs="Times New Roman"/>
                <w:color w:val="000000"/>
                <w:sz w:val="28"/>
                <w:szCs w:val="28"/>
              </w:rPr>
              <w:t xml:space="preserve"> (</w:t>
            </w:r>
            <w:proofErr w:type="spellStart"/>
            <w:r w:rsidRPr="00C368DB">
              <w:rPr>
                <w:rFonts w:ascii="Times New Roman" w:eastAsia="Times New Roman" w:hAnsi="Times New Roman" w:cs="Times New Roman"/>
                <w:color w:val="000000"/>
                <w:sz w:val="28"/>
                <w:szCs w:val="28"/>
              </w:rPr>
              <w:t>mlr</w:t>
            </w:r>
            <w:proofErr w:type="spellEnd"/>
            <w:r w:rsidRPr="00C368DB">
              <w:rPr>
                <w:rFonts w:ascii="Times New Roman" w:eastAsia="Times New Roman" w:hAnsi="Times New Roman" w:cs="Times New Roman"/>
                <w:color w:val="000000"/>
                <w:sz w:val="28"/>
                <w:szCs w:val="28"/>
              </w:rPr>
              <w:t>)</w:t>
            </w:r>
          </w:p>
        </w:tc>
        <w:tc>
          <w:tcPr>
            <w:tcW w:w="1621" w:type="dxa"/>
            <w:tcBorders>
              <w:top w:val="single" w:sz="4" w:space="0" w:color="auto"/>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round(</w:t>
            </w:r>
            <w:proofErr w:type="spellStart"/>
            <w:r w:rsidRPr="00C368DB">
              <w:rPr>
                <w:rFonts w:ascii="Times New Roman" w:eastAsia="Times New Roman" w:hAnsi="Times New Roman" w:cs="Times New Roman"/>
                <w:color w:val="000000"/>
                <w:sz w:val="28"/>
                <w:szCs w:val="28"/>
              </w:rPr>
              <w:t>mlr</w:t>
            </w:r>
            <w:proofErr w:type="spellEnd"/>
            <w:r w:rsidRPr="00C368DB">
              <w:rPr>
                <w:rFonts w:ascii="Times New Roman" w:eastAsia="Times New Roman" w:hAnsi="Times New Roman" w:cs="Times New Roman"/>
                <w:color w:val="000000"/>
                <w:sz w:val="28"/>
                <w:szCs w:val="28"/>
              </w:rPr>
              <w:t>)</w:t>
            </w:r>
          </w:p>
        </w:tc>
      </w:tr>
      <w:tr w:rsidR="009F2435"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MSFT</w:t>
            </w:r>
          </w:p>
        </w:tc>
        <w:tc>
          <w:tcPr>
            <w:tcW w:w="3119"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0.01577966</w:t>
            </w:r>
          </w:p>
        </w:tc>
        <w:tc>
          <w:tcPr>
            <w:tcW w:w="1621"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0.0158</w:t>
            </w:r>
          </w:p>
        </w:tc>
      </w:tr>
      <w:tr w:rsidR="009F2435"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APPL</w:t>
            </w:r>
          </w:p>
        </w:tc>
        <w:tc>
          <w:tcPr>
            <w:tcW w:w="3119"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0.01772833</w:t>
            </w:r>
          </w:p>
        </w:tc>
        <w:tc>
          <w:tcPr>
            <w:tcW w:w="1621"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0.0177</w:t>
            </w:r>
          </w:p>
        </w:tc>
      </w:tr>
      <w:tr w:rsidR="009F2435"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KO</w:t>
            </w:r>
          </w:p>
        </w:tc>
        <w:tc>
          <w:tcPr>
            <w:tcW w:w="3119"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0.01097888</w:t>
            </w:r>
          </w:p>
        </w:tc>
        <w:tc>
          <w:tcPr>
            <w:tcW w:w="1621"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0.011</w:t>
            </w:r>
          </w:p>
        </w:tc>
      </w:tr>
      <w:tr w:rsidR="009F2435"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INTC</w:t>
            </w:r>
          </w:p>
        </w:tc>
        <w:tc>
          <w:tcPr>
            <w:tcW w:w="3119"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0.01803018</w:t>
            </w:r>
          </w:p>
        </w:tc>
        <w:tc>
          <w:tcPr>
            <w:tcW w:w="1621"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0.018</w:t>
            </w:r>
          </w:p>
        </w:tc>
      </w:tr>
      <w:tr w:rsidR="009F2435" w:rsidRPr="00C368DB" w:rsidTr="00BD5EBF">
        <w:trPr>
          <w:trHeight w:val="30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WMT</w:t>
            </w:r>
          </w:p>
        </w:tc>
        <w:tc>
          <w:tcPr>
            <w:tcW w:w="3119"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0.01180310</w:t>
            </w:r>
          </w:p>
        </w:tc>
        <w:tc>
          <w:tcPr>
            <w:tcW w:w="1621" w:type="dxa"/>
            <w:tcBorders>
              <w:top w:val="nil"/>
              <w:left w:val="nil"/>
              <w:bottom w:val="single" w:sz="4" w:space="0" w:color="auto"/>
              <w:right w:val="single" w:sz="4" w:space="0" w:color="auto"/>
            </w:tcBorders>
            <w:shd w:val="clear" w:color="auto" w:fill="auto"/>
            <w:noWrap/>
            <w:vAlign w:val="bottom"/>
            <w:hideMark/>
          </w:tcPr>
          <w:p w:rsidR="009F2435" w:rsidRPr="00C368DB" w:rsidRDefault="009F2435" w:rsidP="00C368DB">
            <w:pPr>
              <w:spacing w:after="0" w:line="240" w:lineRule="auto"/>
              <w:jc w:val="center"/>
              <w:rPr>
                <w:rFonts w:ascii="Times New Roman" w:eastAsia="Times New Roman" w:hAnsi="Times New Roman" w:cs="Times New Roman"/>
                <w:color w:val="000000"/>
                <w:sz w:val="28"/>
                <w:szCs w:val="28"/>
              </w:rPr>
            </w:pPr>
            <w:r w:rsidRPr="00C368DB">
              <w:rPr>
                <w:rFonts w:ascii="Times New Roman" w:eastAsia="Times New Roman" w:hAnsi="Times New Roman" w:cs="Times New Roman"/>
                <w:color w:val="000000"/>
                <w:sz w:val="28"/>
                <w:szCs w:val="28"/>
              </w:rPr>
              <w:t>0.0118</w:t>
            </w:r>
          </w:p>
        </w:tc>
      </w:tr>
    </w:tbl>
    <w:p w:rsidR="00067FA0" w:rsidRPr="00C368DB" w:rsidRDefault="00067FA0" w:rsidP="00C368DB">
      <w:pPr>
        <w:pStyle w:val="ListParagraph"/>
        <w:spacing w:after="0"/>
        <w:rPr>
          <w:rFonts w:ascii="Times New Roman" w:hAnsi="Times New Roman" w:cs="Times New Roman"/>
          <w:sz w:val="28"/>
          <w:szCs w:val="28"/>
        </w:rPr>
      </w:pPr>
    </w:p>
    <w:p w:rsidR="007146D2" w:rsidRPr="00C368DB" w:rsidRDefault="00B05414" w:rsidP="00C368DB">
      <w:pPr>
        <w:pStyle w:val="ListParagraph"/>
        <w:numPr>
          <w:ilvl w:val="0"/>
          <w:numId w:val="2"/>
        </w:numPr>
        <w:spacing w:after="0"/>
        <w:ind w:left="284" w:hanging="284"/>
        <w:rPr>
          <w:rFonts w:ascii="Times New Roman" w:hAnsi="Times New Roman" w:cs="Times New Roman"/>
          <w:sz w:val="28"/>
          <w:szCs w:val="28"/>
        </w:rPr>
      </w:pPr>
      <w:r w:rsidRPr="00C368DB">
        <w:rPr>
          <w:rFonts w:ascii="Times New Roman" w:hAnsi="Times New Roman" w:cs="Times New Roman"/>
          <w:sz w:val="28"/>
          <w:szCs w:val="28"/>
        </w:rPr>
        <w:t>Data Frame for all companies with their mean and standard deviation.</w:t>
      </w:r>
    </w:p>
    <w:p w:rsidR="00C368DB" w:rsidRPr="00C368DB" w:rsidRDefault="00B6298C" w:rsidP="00B6298C">
      <w:pPr>
        <w:rPr>
          <w:rFonts w:ascii="Times New Roman" w:hAnsi="Times New Roman" w:cs="Times New Roman"/>
          <w:sz w:val="28"/>
          <w:szCs w:val="28"/>
        </w:rPr>
      </w:pPr>
      <w:r w:rsidRPr="00C368DB">
        <w:rPr>
          <w:rFonts w:ascii="Times New Roman" w:hAnsi="Times New Roman" w:cs="Times New Roman"/>
          <w:sz w:val="28"/>
          <w:szCs w:val="28"/>
        </w:rPr>
        <w:t xml:space="preserve">   </w:t>
      </w:r>
      <w:r w:rsidR="00067FA0" w:rsidRPr="00C368DB">
        <w:rPr>
          <w:noProof/>
          <w:sz w:val="28"/>
          <w:szCs w:val="28"/>
        </w:rPr>
        <w:drawing>
          <wp:inline distT="0" distB="0" distL="0" distR="0">
            <wp:extent cx="3022866" cy="2400359"/>
            <wp:effectExtent l="19050" t="0" r="608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020850" cy="2398758"/>
                    </a:xfrm>
                    <a:prstGeom prst="rect">
                      <a:avLst/>
                    </a:prstGeom>
                    <a:noFill/>
                    <a:ln w="9525">
                      <a:noFill/>
                      <a:miter lim="800000"/>
                      <a:headEnd/>
                      <a:tailEnd/>
                    </a:ln>
                  </pic:spPr>
                </pic:pic>
              </a:graphicData>
            </a:graphic>
          </wp:inline>
        </w:drawing>
      </w:r>
      <w:r w:rsidR="00C368DB">
        <w:rPr>
          <w:rFonts w:ascii="Times New Roman" w:hAnsi="Times New Roman" w:cs="Times New Roman"/>
          <w:sz w:val="28"/>
          <w:szCs w:val="28"/>
        </w:rPr>
        <w:t xml:space="preserve"> </w:t>
      </w:r>
      <w:r w:rsidR="00C368DB" w:rsidRPr="00C368DB">
        <w:rPr>
          <w:rFonts w:ascii="Times New Roman" w:hAnsi="Times New Roman" w:cs="Times New Roman"/>
          <w:noProof/>
          <w:sz w:val="28"/>
          <w:szCs w:val="28"/>
        </w:rPr>
        <w:drawing>
          <wp:inline distT="0" distB="0" distL="0" distR="0">
            <wp:extent cx="3256849" cy="2514007"/>
            <wp:effectExtent l="19050" t="0" r="701"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265419" cy="2520622"/>
                    </a:xfrm>
                    <a:prstGeom prst="rect">
                      <a:avLst/>
                    </a:prstGeom>
                    <a:noFill/>
                    <a:ln w="9525">
                      <a:noFill/>
                      <a:miter lim="800000"/>
                      <a:headEnd/>
                      <a:tailEnd/>
                    </a:ln>
                  </pic:spPr>
                </pic:pic>
              </a:graphicData>
            </a:graphic>
          </wp:inline>
        </w:drawing>
      </w:r>
    </w:p>
    <w:p w:rsidR="00F03C82" w:rsidRPr="00C368DB" w:rsidRDefault="00F03C82" w:rsidP="00F03C82">
      <w:pPr>
        <w:ind w:left="284"/>
        <w:jc w:val="both"/>
        <w:rPr>
          <w:rStyle w:val="markedcontent"/>
          <w:rFonts w:ascii="Times New Roman" w:hAnsi="Times New Roman" w:cs="Times New Roman"/>
          <w:sz w:val="28"/>
          <w:szCs w:val="28"/>
          <w:lang w:val="en-GB"/>
        </w:rPr>
      </w:pPr>
      <w:r w:rsidRPr="00C368DB">
        <w:rPr>
          <w:rStyle w:val="markedcontent"/>
          <w:rFonts w:ascii="Times New Roman" w:hAnsi="Times New Roman" w:cs="Times New Roman"/>
          <w:sz w:val="28"/>
          <w:szCs w:val="28"/>
          <w:lang w:val="en-GB"/>
        </w:rPr>
        <w:t xml:space="preserve">AAPL shows the highest mean log return among the stocks and comparatively high standard deviation of the return. INTC having moderate return shows the highest deviation. KO </w:t>
      </w:r>
      <w:proofErr w:type="gramStart"/>
      <w:r w:rsidRPr="00C368DB">
        <w:rPr>
          <w:rStyle w:val="markedcontent"/>
          <w:rFonts w:ascii="Times New Roman" w:hAnsi="Times New Roman" w:cs="Times New Roman"/>
          <w:sz w:val="28"/>
          <w:szCs w:val="28"/>
          <w:lang w:val="en-GB"/>
        </w:rPr>
        <w:t>deviates</w:t>
      </w:r>
      <w:proofErr w:type="gramEnd"/>
      <w:r w:rsidRPr="00C368DB">
        <w:rPr>
          <w:rStyle w:val="markedcontent"/>
          <w:rFonts w:ascii="Times New Roman" w:hAnsi="Times New Roman" w:cs="Times New Roman"/>
          <w:sz w:val="28"/>
          <w:szCs w:val="28"/>
          <w:lang w:val="en-GB"/>
        </w:rPr>
        <w:t xml:space="preserve"> the less and its mean return is also the lowest.</w:t>
      </w:r>
    </w:p>
    <w:p w:rsidR="000E305D" w:rsidRPr="00CC23D0" w:rsidRDefault="00F03C82" w:rsidP="00CC23D0">
      <w:pPr>
        <w:ind w:left="284"/>
        <w:jc w:val="both"/>
        <w:rPr>
          <w:rFonts w:ascii="Times New Roman" w:hAnsi="Times New Roman" w:cs="Times New Roman"/>
          <w:sz w:val="28"/>
          <w:szCs w:val="28"/>
          <w:lang w:val="en-GB"/>
        </w:rPr>
      </w:pPr>
      <w:r w:rsidRPr="00C368DB">
        <w:rPr>
          <w:rStyle w:val="markedcontent"/>
          <w:rFonts w:ascii="Times New Roman" w:hAnsi="Times New Roman" w:cs="Times New Roman"/>
          <w:sz w:val="28"/>
          <w:szCs w:val="28"/>
          <w:lang w:val="en-GB"/>
        </w:rPr>
        <w:t>Generally, adding high return stock to the portfolio increases its variance and overall risk and vice versa (i.e. higher risk, higher reward). The choice of stocks depends on risk aversion degree.</w:t>
      </w:r>
    </w:p>
    <w:p w:rsidR="00BD5EBF" w:rsidRDefault="00C368DB" w:rsidP="00BD5EBF">
      <w:pPr>
        <w:pStyle w:val="ListParagraph"/>
        <w:numPr>
          <w:ilvl w:val="0"/>
          <w:numId w:val="2"/>
        </w:numPr>
        <w:rPr>
          <w:sz w:val="28"/>
          <w:szCs w:val="28"/>
        </w:rPr>
      </w:pPr>
      <w:r>
        <w:rPr>
          <w:sz w:val="28"/>
          <w:szCs w:val="28"/>
        </w:rPr>
        <w:lastRenderedPageBreak/>
        <w:t>Chart Series for the year 2020.</w:t>
      </w:r>
    </w:p>
    <w:p w:rsidR="00C368DB" w:rsidRPr="00C368DB" w:rsidRDefault="000E305D" w:rsidP="00C368DB">
      <w:pPr>
        <w:pStyle w:val="ListParagraph"/>
        <w:numPr>
          <w:ilvl w:val="1"/>
          <w:numId w:val="2"/>
        </w:numPr>
        <w:rPr>
          <w:sz w:val="28"/>
          <w:szCs w:val="28"/>
        </w:rPr>
      </w:pPr>
      <w:r>
        <w:rPr>
          <w:sz w:val="28"/>
          <w:szCs w:val="28"/>
        </w:rPr>
        <w:t>Microsoft</w:t>
      </w:r>
    </w:p>
    <w:p w:rsidR="00BD5EBF" w:rsidRPr="00C368DB" w:rsidRDefault="00BD5EBF" w:rsidP="00BD5EBF">
      <w:pPr>
        <w:pStyle w:val="ListParagraph"/>
        <w:ind w:firstLine="720"/>
        <w:rPr>
          <w:sz w:val="28"/>
          <w:szCs w:val="28"/>
        </w:rPr>
      </w:pPr>
      <w:r w:rsidRPr="00C368DB">
        <w:rPr>
          <w:noProof/>
          <w:sz w:val="28"/>
          <w:szCs w:val="28"/>
        </w:rPr>
        <w:drawing>
          <wp:inline distT="0" distB="0" distL="0" distR="0">
            <wp:extent cx="5391150" cy="4208200"/>
            <wp:effectExtent l="0" t="0" r="0" b="1905"/>
            <wp:docPr id="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2132" cy="4216772"/>
                    </a:xfrm>
                    <a:prstGeom prst="rect">
                      <a:avLst/>
                    </a:prstGeom>
                  </pic:spPr>
                </pic:pic>
              </a:graphicData>
            </a:graphic>
          </wp:inline>
        </w:drawing>
      </w:r>
    </w:p>
    <w:p w:rsidR="00BD5EBF" w:rsidRPr="00C368DB" w:rsidRDefault="00BD5EBF" w:rsidP="00BD5EBF">
      <w:pPr>
        <w:pStyle w:val="ListParagraph"/>
        <w:jc w:val="center"/>
        <w:rPr>
          <w:rFonts w:asciiTheme="majorBidi" w:hAnsiTheme="majorBidi" w:cstheme="majorBidi"/>
          <w:i/>
          <w:iCs/>
          <w:sz w:val="28"/>
          <w:szCs w:val="28"/>
        </w:rPr>
      </w:pPr>
      <w:r w:rsidRPr="00C368DB">
        <w:rPr>
          <w:rFonts w:asciiTheme="majorBidi" w:hAnsiTheme="majorBidi" w:cstheme="majorBidi"/>
          <w:i/>
          <w:iCs/>
          <w:sz w:val="28"/>
          <w:szCs w:val="28"/>
        </w:rPr>
        <w:t>Microsoft Chart Series showing the Bollinger Band chart and Volume Traded during 2020</w:t>
      </w:r>
    </w:p>
    <w:p w:rsidR="00BD5EBF" w:rsidRPr="00C368DB" w:rsidRDefault="00BD5EBF" w:rsidP="00BD5EBF">
      <w:pPr>
        <w:pStyle w:val="ListParagraph"/>
        <w:rPr>
          <w:sz w:val="28"/>
          <w:szCs w:val="28"/>
        </w:rPr>
      </w:pPr>
    </w:p>
    <w:p w:rsidR="00BD5EBF" w:rsidRPr="00C368DB" w:rsidRDefault="00BD5EBF" w:rsidP="00B05414">
      <w:pPr>
        <w:pStyle w:val="ListParagraph"/>
        <w:ind w:left="284"/>
        <w:rPr>
          <w:rFonts w:asciiTheme="majorBidi" w:hAnsiTheme="majorBidi" w:cstheme="majorBidi"/>
          <w:sz w:val="28"/>
          <w:szCs w:val="28"/>
        </w:rPr>
      </w:pPr>
      <w:r w:rsidRPr="00C368DB">
        <w:rPr>
          <w:rFonts w:asciiTheme="majorBidi" w:hAnsiTheme="majorBidi" w:cstheme="majorBidi"/>
          <w:sz w:val="28"/>
          <w:szCs w:val="28"/>
        </w:rPr>
        <w:t>At the year's onset, Microsoft trending was going up in steady and low volatility. By studying the candlesticks chart and comparing it to the Bollinger band during the end of January, one could consider the stock overbought. The candlesticks were crossing above the upper band, creating a "sell zone."</w:t>
      </w:r>
    </w:p>
    <w:p w:rsidR="00BD5EBF" w:rsidRDefault="00BD5EBF" w:rsidP="00B05414">
      <w:pPr>
        <w:pStyle w:val="ListParagraph"/>
        <w:ind w:left="284"/>
        <w:rPr>
          <w:rFonts w:asciiTheme="majorBidi" w:hAnsiTheme="majorBidi" w:cstheme="majorBidi"/>
          <w:sz w:val="28"/>
          <w:szCs w:val="28"/>
        </w:rPr>
      </w:pPr>
      <w:r w:rsidRPr="00C368DB">
        <w:rPr>
          <w:rFonts w:asciiTheme="majorBidi" w:hAnsiTheme="majorBidi" w:cstheme="majorBidi"/>
          <w:sz w:val="28"/>
          <w:szCs w:val="28"/>
        </w:rPr>
        <w:t>The price began to adjust right before the pandemic period accrued at the beginning of March. The pandemic impact was only during March, and the price started to recover again. Before the end of March, the candlesticks crossed the lower Bollinger band creating a "buy zone."</w:t>
      </w:r>
    </w:p>
    <w:p w:rsidR="00BD5EBF" w:rsidRPr="00C368DB" w:rsidRDefault="00BD5EBF" w:rsidP="00B05414">
      <w:pPr>
        <w:pStyle w:val="ListParagraph"/>
        <w:ind w:left="284"/>
        <w:rPr>
          <w:rFonts w:asciiTheme="majorBidi" w:hAnsiTheme="majorBidi" w:cstheme="majorBidi"/>
          <w:sz w:val="28"/>
          <w:szCs w:val="28"/>
        </w:rPr>
      </w:pPr>
      <w:r w:rsidRPr="00C368DB">
        <w:rPr>
          <w:rFonts w:asciiTheme="majorBidi" w:hAnsiTheme="majorBidi" w:cstheme="majorBidi"/>
          <w:sz w:val="28"/>
          <w:szCs w:val="28"/>
        </w:rPr>
        <w:t>Since then, Microsoft's share price has been a steady up-trend with low volatility, which we can see by noticing the Bollinger bands narrow down.</w:t>
      </w:r>
    </w:p>
    <w:p w:rsidR="00C368DB" w:rsidRDefault="00BD5EBF" w:rsidP="000E305D">
      <w:pPr>
        <w:pStyle w:val="ListParagraph"/>
        <w:ind w:left="284"/>
        <w:rPr>
          <w:rFonts w:asciiTheme="majorBidi" w:hAnsiTheme="majorBidi" w:cstheme="majorBidi"/>
          <w:sz w:val="28"/>
          <w:szCs w:val="28"/>
        </w:rPr>
      </w:pPr>
      <w:r w:rsidRPr="00C368DB">
        <w:rPr>
          <w:rFonts w:asciiTheme="majorBidi" w:hAnsiTheme="majorBidi" w:cstheme="majorBidi"/>
          <w:sz w:val="28"/>
          <w:szCs w:val="28"/>
        </w:rPr>
        <w:t>After August, the Bollinger bands started to widen again, indicating prices more volatile, but it was not a clear signal to enter or exit the market.</w:t>
      </w:r>
    </w:p>
    <w:p w:rsidR="00CC23D0" w:rsidRDefault="00CC23D0" w:rsidP="000E305D">
      <w:pPr>
        <w:pStyle w:val="ListParagraph"/>
        <w:ind w:left="284"/>
        <w:rPr>
          <w:rFonts w:asciiTheme="majorBidi" w:hAnsiTheme="majorBidi" w:cstheme="majorBidi"/>
          <w:sz w:val="28"/>
          <w:szCs w:val="28"/>
        </w:rPr>
      </w:pPr>
    </w:p>
    <w:p w:rsidR="000E305D" w:rsidRPr="000E305D" w:rsidRDefault="000E305D" w:rsidP="000E305D">
      <w:pPr>
        <w:pStyle w:val="ListParagraph"/>
        <w:ind w:left="284"/>
        <w:rPr>
          <w:rFonts w:asciiTheme="majorBidi" w:hAnsiTheme="majorBidi" w:cstheme="majorBidi"/>
          <w:sz w:val="28"/>
          <w:szCs w:val="28"/>
        </w:rPr>
      </w:pPr>
    </w:p>
    <w:p w:rsidR="00C368DB" w:rsidRPr="00C368DB" w:rsidRDefault="000E305D" w:rsidP="00C368DB">
      <w:pPr>
        <w:pStyle w:val="ListParagraph"/>
        <w:numPr>
          <w:ilvl w:val="1"/>
          <w:numId w:val="2"/>
        </w:numPr>
        <w:rPr>
          <w:sz w:val="28"/>
          <w:szCs w:val="28"/>
        </w:rPr>
      </w:pPr>
      <w:r>
        <w:rPr>
          <w:sz w:val="28"/>
          <w:szCs w:val="28"/>
        </w:rPr>
        <w:lastRenderedPageBreak/>
        <w:t>Apple</w:t>
      </w:r>
    </w:p>
    <w:p w:rsidR="00BD5EBF" w:rsidRPr="00C368DB" w:rsidRDefault="00BD5EBF" w:rsidP="00BD5EBF">
      <w:pPr>
        <w:pStyle w:val="ListParagraph"/>
        <w:ind w:firstLine="720"/>
        <w:rPr>
          <w:sz w:val="28"/>
          <w:szCs w:val="28"/>
        </w:rPr>
      </w:pPr>
      <w:r w:rsidRPr="00C368DB">
        <w:rPr>
          <w:noProof/>
          <w:sz w:val="28"/>
          <w:szCs w:val="28"/>
        </w:rPr>
        <w:drawing>
          <wp:inline distT="0" distB="0" distL="0" distR="0">
            <wp:extent cx="5296639" cy="4134427"/>
            <wp:effectExtent l="0" t="0" r="0" b="0"/>
            <wp:docPr id="4"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96639" cy="4134427"/>
                    </a:xfrm>
                    <a:prstGeom prst="rect">
                      <a:avLst/>
                    </a:prstGeom>
                  </pic:spPr>
                </pic:pic>
              </a:graphicData>
            </a:graphic>
          </wp:inline>
        </w:drawing>
      </w:r>
    </w:p>
    <w:p w:rsidR="00BD5EBF" w:rsidRPr="00C368DB" w:rsidRDefault="00BD5EBF" w:rsidP="00BD5EBF">
      <w:pPr>
        <w:pStyle w:val="ListParagraph"/>
        <w:rPr>
          <w:rFonts w:asciiTheme="majorBidi" w:hAnsiTheme="majorBidi" w:cstheme="majorBidi"/>
          <w:i/>
          <w:iCs/>
          <w:sz w:val="28"/>
          <w:szCs w:val="28"/>
        </w:rPr>
      </w:pPr>
      <w:r w:rsidRPr="00C368DB">
        <w:rPr>
          <w:rFonts w:asciiTheme="majorBidi" w:hAnsiTheme="majorBidi" w:cstheme="majorBidi"/>
          <w:i/>
          <w:iCs/>
          <w:sz w:val="28"/>
          <w:szCs w:val="28"/>
        </w:rPr>
        <w:t>Apple Chart Series showing the Bollinger Band chart and Volume Traded during 2020</w:t>
      </w:r>
    </w:p>
    <w:p w:rsidR="00BD5EBF" w:rsidRPr="00C368DB" w:rsidRDefault="00BD5EBF" w:rsidP="00BD5EBF">
      <w:pPr>
        <w:pStyle w:val="ListParagraph"/>
        <w:rPr>
          <w:sz w:val="28"/>
          <w:szCs w:val="28"/>
        </w:rPr>
      </w:pPr>
    </w:p>
    <w:p w:rsidR="00BD5EBF" w:rsidRPr="00C368DB" w:rsidRDefault="00BD5EBF" w:rsidP="00B05414">
      <w:pPr>
        <w:pStyle w:val="ListParagraph"/>
        <w:ind w:left="284"/>
        <w:rPr>
          <w:rFonts w:asciiTheme="majorBidi" w:hAnsiTheme="majorBidi" w:cstheme="majorBidi"/>
          <w:sz w:val="28"/>
          <w:szCs w:val="28"/>
        </w:rPr>
      </w:pPr>
      <w:r w:rsidRPr="00C368DB">
        <w:rPr>
          <w:rFonts w:asciiTheme="majorBidi" w:hAnsiTheme="majorBidi" w:cstheme="majorBidi"/>
          <w:sz w:val="28"/>
          <w:szCs w:val="28"/>
        </w:rPr>
        <w:t xml:space="preserve">In similarity with the general market, Apple's share price started the year steadily and trending up with low volatility. At the beginning of March, the pandemic began to affect the market and created a "buy zone" by noticing the candlesticks crossing the lower Bollinger band. Then the price started to trend up again. From April until the end of August, the candlesticks stayed in the support zone and gave weak signals; maybe we can say confusing exit signals. </w:t>
      </w:r>
    </w:p>
    <w:p w:rsidR="00CC23D0" w:rsidRDefault="00BD5EBF" w:rsidP="000E305D">
      <w:pPr>
        <w:pStyle w:val="ListParagraph"/>
        <w:ind w:left="284"/>
        <w:rPr>
          <w:sz w:val="28"/>
          <w:szCs w:val="28"/>
        </w:rPr>
        <w:sectPr w:rsidR="00CC23D0" w:rsidSect="00CC23D0">
          <w:pgSz w:w="12240" w:h="15840"/>
          <w:pgMar w:top="567" w:right="758" w:bottom="1276" w:left="851" w:header="708" w:footer="708" w:gutter="0"/>
          <w:cols w:space="708"/>
          <w:docGrid w:linePitch="360"/>
        </w:sectPr>
      </w:pPr>
      <w:r w:rsidRPr="00C368DB">
        <w:rPr>
          <w:rFonts w:asciiTheme="majorBidi" w:hAnsiTheme="majorBidi" w:cstheme="majorBidi"/>
          <w:sz w:val="28"/>
          <w:szCs w:val="28"/>
        </w:rPr>
        <w:t>In September, the candlesticks crossed the upper Bollinger band, creating a "sell zone." During the third and fourth quarter of the year, there was more volatility in the price, noticing the Bollinger bands are wider compared to the first two quarters. But the price was trending up</w:t>
      </w:r>
      <w:r w:rsidRPr="00C368DB">
        <w:rPr>
          <w:sz w:val="28"/>
          <w:szCs w:val="28"/>
        </w:rPr>
        <w:t>.</w:t>
      </w:r>
    </w:p>
    <w:p w:rsidR="000E305D" w:rsidRPr="000E305D" w:rsidRDefault="000E305D" w:rsidP="000E305D">
      <w:pPr>
        <w:pStyle w:val="ListParagraph"/>
        <w:numPr>
          <w:ilvl w:val="1"/>
          <w:numId w:val="2"/>
        </w:numPr>
        <w:rPr>
          <w:sz w:val="28"/>
          <w:szCs w:val="28"/>
        </w:rPr>
      </w:pPr>
      <w:r>
        <w:rPr>
          <w:sz w:val="28"/>
          <w:szCs w:val="28"/>
        </w:rPr>
        <w:lastRenderedPageBreak/>
        <w:t>Coca-Cola</w:t>
      </w:r>
    </w:p>
    <w:p w:rsidR="00BD5EBF" w:rsidRPr="00C368DB" w:rsidRDefault="00BD5EBF" w:rsidP="00BD5EBF">
      <w:pPr>
        <w:pStyle w:val="ListParagraph"/>
        <w:ind w:firstLine="720"/>
        <w:rPr>
          <w:sz w:val="28"/>
          <w:szCs w:val="28"/>
        </w:rPr>
      </w:pPr>
      <w:r w:rsidRPr="00C368DB">
        <w:rPr>
          <w:noProof/>
          <w:sz w:val="28"/>
          <w:szCs w:val="28"/>
        </w:rPr>
        <w:drawing>
          <wp:inline distT="0" distB="0" distL="0" distR="0">
            <wp:extent cx="5296639" cy="4134427"/>
            <wp:effectExtent l="0" t="0" r="0" b="0"/>
            <wp:docPr id="5"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96639" cy="4134427"/>
                    </a:xfrm>
                    <a:prstGeom prst="rect">
                      <a:avLst/>
                    </a:prstGeom>
                  </pic:spPr>
                </pic:pic>
              </a:graphicData>
            </a:graphic>
          </wp:inline>
        </w:drawing>
      </w:r>
    </w:p>
    <w:p w:rsidR="00BD5EBF" w:rsidRPr="00C368DB" w:rsidRDefault="00BD5EBF" w:rsidP="00BD5EBF">
      <w:pPr>
        <w:pStyle w:val="ListParagraph"/>
        <w:jc w:val="center"/>
        <w:rPr>
          <w:rFonts w:asciiTheme="majorBidi" w:hAnsiTheme="majorBidi" w:cstheme="majorBidi"/>
          <w:i/>
          <w:iCs/>
          <w:sz w:val="28"/>
          <w:szCs w:val="28"/>
        </w:rPr>
      </w:pPr>
      <w:r w:rsidRPr="00C368DB">
        <w:rPr>
          <w:rFonts w:asciiTheme="majorBidi" w:hAnsiTheme="majorBidi" w:cstheme="majorBidi"/>
          <w:i/>
          <w:iCs/>
          <w:sz w:val="28"/>
          <w:szCs w:val="28"/>
        </w:rPr>
        <w:t>Coca-Cola Chart Series showing the Bollinger Band chart and Volume Traded during 2020</w:t>
      </w:r>
    </w:p>
    <w:p w:rsidR="00BD5EBF" w:rsidRPr="00C368DB" w:rsidRDefault="00BD5EBF" w:rsidP="00BD5EBF">
      <w:pPr>
        <w:pStyle w:val="ListParagraph"/>
        <w:rPr>
          <w:sz w:val="28"/>
          <w:szCs w:val="28"/>
        </w:rPr>
      </w:pPr>
    </w:p>
    <w:p w:rsidR="00CC23D0" w:rsidRDefault="00BD5EBF" w:rsidP="00B05414">
      <w:pPr>
        <w:pStyle w:val="ListParagraph"/>
        <w:ind w:left="284"/>
        <w:rPr>
          <w:rFonts w:asciiTheme="majorBidi" w:hAnsiTheme="majorBidi" w:cstheme="majorBidi"/>
          <w:sz w:val="28"/>
          <w:szCs w:val="28"/>
        </w:rPr>
        <w:sectPr w:rsidR="00CC23D0" w:rsidSect="00CC23D0">
          <w:pgSz w:w="12240" w:h="15840"/>
          <w:pgMar w:top="567" w:right="758" w:bottom="1276" w:left="851" w:header="708" w:footer="708" w:gutter="0"/>
          <w:cols w:space="708"/>
          <w:docGrid w:linePitch="360"/>
        </w:sectPr>
      </w:pPr>
      <w:r w:rsidRPr="00C368DB">
        <w:rPr>
          <w:rFonts w:asciiTheme="majorBidi" w:hAnsiTheme="majorBidi" w:cstheme="majorBidi"/>
          <w:sz w:val="28"/>
          <w:szCs w:val="28"/>
        </w:rPr>
        <w:t>After a period of low volatility and a steady up-trend, the Coca-Cola stock price entered the pandemic time, decreasing by losing almost 40% of its value, also creating a "buy zone" by noticing the candlesticks crossing the lower Bollinger band. After the first quarter, the Coca-Cola price attended to lower volatility and progress a long-term recovery process. By September and mid of November, there were two exit signals when the candlesticks crossed the upper Bollinger band. Overall, the pandemic impact on the share price quite heavily and the following quarters during 2020 was not en</w:t>
      </w:r>
      <w:r w:rsidR="00CC23D0">
        <w:rPr>
          <w:rFonts w:asciiTheme="majorBidi" w:hAnsiTheme="majorBidi" w:cstheme="majorBidi"/>
          <w:sz w:val="28"/>
          <w:szCs w:val="28"/>
        </w:rPr>
        <w:t>ough time to completely recover</w:t>
      </w:r>
    </w:p>
    <w:p w:rsidR="000E305D" w:rsidRPr="000E305D" w:rsidRDefault="000E305D" w:rsidP="000E305D">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lastRenderedPageBreak/>
        <w:t>Intel</w:t>
      </w:r>
    </w:p>
    <w:p w:rsidR="00BD5EBF" w:rsidRPr="00C368DB" w:rsidRDefault="00BD5EBF" w:rsidP="00BD5EBF">
      <w:pPr>
        <w:pStyle w:val="ListParagraph"/>
        <w:ind w:firstLine="720"/>
        <w:rPr>
          <w:rFonts w:asciiTheme="majorBidi" w:hAnsiTheme="majorBidi" w:cstheme="majorBidi"/>
          <w:sz w:val="28"/>
          <w:szCs w:val="28"/>
        </w:rPr>
      </w:pPr>
      <w:r w:rsidRPr="00C368DB">
        <w:rPr>
          <w:noProof/>
          <w:sz w:val="28"/>
          <w:szCs w:val="28"/>
        </w:rPr>
        <w:drawing>
          <wp:inline distT="0" distB="0" distL="0" distR="0">
            <wp:extent cx="5296639" cy="4134427"/>
            <wp:effectExtent l="0" t="0" r="0" b="0"/>
            <wp:docPr id="6"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96639" cy="4134427"/>
                    </a:xfrm>
                    <a:prstGeom prst="rect">
                      <a:avLst/>
                    </a:prstGeom>
                  </pic:spPr>
                </pic:pic>
              </a:graphicData>
            </a:graphic>
          </wp:inline>
        </w:drawing>
      </w:r>
    </w:p>
    <w:p w:rsidR="00BD5EBF" w:rsidRPr="00C368DB" w:rsidRDefault="00BD5EBF" w:rsidP="00BD5EBF">
      <w:pPr>
        <w:pStyle w:val="ListParagraph"/>
        <w:rPr>
          <w:rFonts w:asciiTheme="majorBidi" w:hAnsiTheme="majorBidi" w:cstheme="majorBidi"/>
          <w:i/>
          <w:iCs/>
          <w:sz w:val="28"/>
          <w:szCs w:val="28"/>
        </w:rPr>
      </w:pPr>
      <w:r w:rsidRPr="00C368DB">
        <w:rPr>
          <w:rFonts w:asciiTheme="majorBidi" w:hAnsiTheme="majorBidi" w:cstheme="majorBidi"/>
          <w:i/>
          <w:iCs/>
          <w:sz w:val="28"/>
          <w:szCs w:val="28"/>
        </w:rPr>
        <w:t>Intel Chart Series showing the Bollinger Band chart and Volume Traded during 2020</w:t>
      </w:r>
    </w:p>
    <w:p w:rsidR="00BD5EBF" w:rsidRPr="00C368DB" w:rsidRDefault="00BD5EBF" w:rsidP="00BD5EBF">
      <w:pPr>
        <w:pStyle w:val="ListParagraph"/>
        <w:rPr>
          <w:rFonts w:asciiTheme="majorBidi" w:hAnsiTheme="majorBidi" w:cstheme="majorBidi"/>
          <w:sz w:val="28"/>
          <w:szCs w:val="28"/>
        </w:rPr>
      </w:pPr>
    </w:p>
    <w:p w:rsidR="00BD5EBF" w:rsidRPr="00C368DB" w:rsidRDefault="00BD5EBF" w:rsidP="00B05414">
      <w:pPr>
        <w:pStyle w:val="ListParagraph"/>
        <w:ind w:left="284"/>
        <w:rPr>
          <w:rFonts w:asciiTheme="majorBidi" w:hAnsiTheme="majorBidi" w:cstheme="majorBidi"/>
          <w:sz w:val="28"/>
          <w:szCs w:val="28"/>
        </w:rPr>
      </w:pPr>
      <w:r w:rsidRPr="00C368DB">
        <w:rPr>
          <w:rFonts w:asciiTheme="majorBidi" w:hAnsiTheme="majorBidi" w:cstheme="majorBidi"/>
          <w:sz w:val="28"/>
          <w:szCs w:val="28"/>
        </w:rPr>
        <w:t>From an overall perspective, Intel's share price has a bug variation and more volatility than the other stocks. The price dropped around 17% in comparison to the period before the pandemic.</w:t>
      </w:r>
    </w:p>
    <w:p w:rsidR="00CC23D0" w:rsidRDefault="00BD5EBF" w:rsidP="00B05414">
      <w:pPr>
        <w:pStyle w:val="ListParagraph"/>
        <w:ind w:left="284"/>
        <w:rPr>
          <w:rFonts w:asciiTheme="majorBidi" w:hAnsiTheme="majorBidi" w:cstheme="majorBidi"/>
          <w:sz w:val="28"/>
          <w:szCs w:val="28"/>
        </w:rPr>
        <w:sectPr w:rsidR="00CC23D0" w:rsidSect="00CC23D0">
          <w:pgSz w:w="12240" w:h="15840"/>
          <w:pgMar w:top="567" w:right="758" w:bottom="1276" w:left="851" w:header="708" w:footer="708" w:gutter="0"/>
          <w:cols w:space="708"/>
          <w:docGrid w:linePitch="360"/>
        </w:sectPr>
      </w:pPr>
      <w:r w:rsidRPr="00C368DB">
        <w:rPr>
          <w:rFonts w:asciiTheme="majorBidi" w:hAnsiTheme="majorBidi" w:cstheme="majorBidi"/>
          <w:sz w:val="28"/>
          <w:szCs w:val="28"/>
        </w:rPr>
        <w:t>Intel's share price started the year with higher volatility and increasing prices. But when Covid-19 hit, the price went into a period of even higher volatility and decreasing the value.  At the end of March, we see the indicators of this recovery when the candlesticks leave the lower Bollinger band, so it created a "buy zone." Between May, June, and July, the price remains in the support zone. Then it followed with two falls, one at the beginning of August and another at the end of October. After each</w:t>
      </w:r>
      <w:r w:rsidR="00CC23D0">
        <w:rPr>
          <w:rFonts w:asciiTheme="majorBidi" w:hAnsiTheme="majorBidi" w:cstheme="majorBidi"/>
          <w:sz w:val="28"/>
          <w:szCs w:val="28"/>
        </w:rPr>
        <w:t xml:space="preserve"> drop, it was a recovery period.</w:t>
      </w:r>
    </w:p>
    <w:p w:rsidR="000E305D" w:rsidRPr="000E305D" w:rsidRDefault="000E305D" w:rsidP="000E305D">
      <w:pPr>
        <w:pStyle w:val="ListParagraph"/>
        <w:numPr>
          <w:ilvl w:val="1"/>
          <w:numId w:val="2"/>
        </w:numPr>
        <w:rPr>
          <w:rFonts w:asciiTheme="majorBidi" w:hAnsiTheme="majorBidi" w:cstheme="majorBidi"/>
          <w:sz w:val="28"/>
          <w:szCs w:val="28"/>
        </w:rPr>
      </w:pPr>
      <w:proofErr w:type="spellStart"/>
      <w:r>
        <w:rPr>
          <w:rFonts w:asciiTheme="majorBidi" w:hAnsiTheme="majorBidi" w:cstheme="majorBidi"/>
          <w:sz w:val="28"/>
          <w:szCs w:val="28"/>
        </w:rPr>
        <w:lastRenderedPageBreak/>
        <w:t>Walmart</w:t>
      </w:r>
      <w:proofErr w:type="spellEnd"/>
    </w:p>
    <w:p w:rsidR="00BD5EBF" w:rsidRPr="00C368DB" w:rsidRDefault="00BD5EBF" w:rsidP="00BD5EBF">
      <w:pPr>
        <w:pStyle w:val="ListParagraph"/>
        <w:ind w:firstLine="720"/>
        <w:rPr>
          <w:rFonts w:asciiTheme="majorBidi" w:hAnsiTheme="majorBidi" w:cstheme="majorBidi"/>
          <w:sz w:val="28"/>
          <w:szCs w:val="28"/>
        </w:rPr>
      </w:pPr>
      <w:r w:rsidRPr="00C368DB">
        <w:rPr>
          <w:noProof/>
          <w:sz w:val="28"/>
          <w:szCs w:val="28"/>
        </w:rPr>
        <w:drawing>
          <wp:inline distT="0" distB="0" distL="0" distR="0">
            <wp:extent cx="5296639" cy="4134427"/>
            <wp:effectExtent l="0" t="0" r="0" b="0"/>
            <wp:docPr id="7"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96639" cy="4134427"/>
                    </a:xfrm>
                    <a:prstGeom prst="rect">
                      <a:avLst/>
                    </a:prstGeom>
                  </pic:spPr>
                </pic:pic>
              </a:graphicData>
            </a:graphic>
          </wp:inline>
        </w:drawing>
      </w:r>
    </w:p>
    <w:p w:rsidR="00BD5EBF" w:rsidRPr="00C368DB" w:rsidRDefault="00BD5EBF" w:rsidP="00BD5EBF">
      <w:pPr>
        <w:pStyle w:val="ListParagraph"/>
        <w:jc w:val="center"/>
        <w:rPr>
          <w:rFonts w:asciiTheme="majorBidi" w:hAnsiTheme="majorBidi" w:cstheme="majorBidi"/>
          <w:i/>
          <w:iCs/>
          <w:sz w:val="28"/>
          <w:szCs w:val="28"/>
        </w:rPr>
      </w:pPr>
      <w:proofErr w:type="spellStart"/>
      <w:r w:rsidRPr="00C368DB">
        <w:rPr>
          <w:rFonts w:asciiTheme="majorBidi" w:hAnsiTheme="majorBidi" w:cstheme="majorBidi"/>
          <w:i/>
          <w:iCs/>
          <w:sz w:val="28"/>
          <w:szCs w:val="28"/>
        </w:rPr>
        <w:t>Walmart</w:t>
      </w:r>
      <w:proofErr w:type="spellEnd"/>
      <w:r w:rsidRPr="00C368DB">
        <w:rPr>
          <w:rFonts w:asciiTheme="majorBidi" w:hAnsiTheme="majorBidi" w:cstheme="majorBidi"/>
          <w:i/>
          <w:iCs/>
          <w:sz w:val="28"/>
          <w:szCs w:val="28"/>
        </w:rPr>
        <w:t xml:space="preserve"> Chart Series showing the Bollinger Band chart and Volume Traded during 2020</w:t>
      </w:r>
    </w:p>
    <w:p w:rsidR="00F03C82" w:rsidRDefault="00BD5EBF" w:rsidP="000E305D">
      <w:pPr>
        <w:pStyle w:val="ListParagraph"/>
        <w:ind w:left="284"/>
        <w:rPr>
          <w:rFonts w:asciiTheme="majorBidi" w:hAnsiTheme="majorBidi" w:cstheme="majorBidi"/>
          <w:sz w:val="28"/>
          <w:szCs w:val="28"/>
        </w:rPr>
      </w:pPr>
      <w:proofErr w:type="spellStart"/>
      <w:r w:rsidRPr="00C368DB">
        <w:rPr>
          <w:rFonts w:asciiTheme="majorBidi" w:hAnsiTheme="majorBidi" w:cstheme="majorBidi"/>
          <w:sz w:val="28"/>
          <w:szCs w:val="28"/>
        </w:rPr>
        <w:t>Walmart's</w:t>
      </w:r>
      <w:proofErr w:type="spellEnd"/>
      <w:r w:rsidRPr="00C368DB">
        <w:rPr>
          <w:rFonts w:asciiTheme="majorBidi" w:hAnsiTheme="majorBidi" w:cstheme="majorBidi"/>
          <w:sz w:val="28"/>
          <w:szCs w:val="28"/>
        </w:rPr>
        <w:t xml:space="preserve"> share price had a slightly different start from the other shares. It started the year by decreasing in the value and low volatility. Then the pandemic hit the market, which caused a decrease in the price and created a "buy zone" signal. At the end of March, the price recovered and started the second quarter with a trend-up price and higher volatility. During the third quarter, the same scenario happened, but at the end of this September, the share was overbought, which created a strong exit signal by crossing the candlesticks of the Bollinger upper band. During November and December, the price started dropping. Overall, </w:t>
      </w:r>
      <w:proofErr w:type="spellStart"/>
      <w:r w:rsidRPr="00C368DB">
        <w:rPr>
          <w:rFonts w:asciiTheme="majorBidi" w:hAnsiTheme="majorBidi" w:cstheme="majorBidi"/>
          <w:sz w:val="28"/>
          <w:szCs w:val="28"/>
        </w:rPr>
        <w:t>Walmart's</w:t>
      </w:r>
      <w:proofErr w:type="spellEnd"/>
      <w:r w:rsidRPr="00C368DB">
        <w:rPr>
          <w:rFonts w:asciiTheme="majorBidi" w:hAnsiTheme="majorBidi" w:cstheme="majorBidi"/>
          <w:sz w:val="28"/>
          <w:szCs w:val="28"/>
        </w:rPr>
        <w:t xml:space="preserve"> price increased around 25% during 2020.</w:t>
      </w:r>
    </w:p>
    <w:p w:rsidR="000E305D" w:rsidRDefault="000E305D" w:rsidP="000E305D">
      <w:pPr>
        <w:pStyle w:val="ListParagraph"/>
        <w:ind w:left="284"/>
        <w:rPr>
          <w:rStyle w:val="markedcontent"/>
          <w:rFonts w:asciiTheme="majorBidi" w:hAnsiTheme="majorBidi" w:cstheme="majorBidi"/>
          <w:sz w:val="28"/>
          <w:szCs w:val="28"/>
        </w:rPr>
      </w:pPr>
    </w:p>
    <w:p w:rsidR="000E305D" w:rsidRPr="000E305D" w:rsidRDefault="000E305D" w:rsidP="000E305D">
      <w:pPr>
        <w:pStyle w:val="ListParagraph"/>
        <w:ind w:left="284"/>
        <w:rPr>
          <w:rStyle w:val="markedcontent"/>
          <w:rFonts w:asciiTheme="majorBidi" w:hAnsiTheme="majorBidi" w:cstheme="majorBidi"/>
          <w:sz w:val="28"/>
          <w:szCs w:val="28"/>
        </w:rPr>
      </w:pPr>
    </w:p>
    <w:p w:rsidR="00F03C82" w:rsidRPr="00C368DB" w:rsidRDefault="00F03C82" w:rsidP="00F03C82">
      <w:pPr>
        <w:pStyle w:val="ListParagraph"/>
        <w:numPr>
          <w:ilvl w:val="0"/>
          <w:numId w:val="2"/>
        </w:numPr>
        <w:ind w:left="284" w:hanging="284"/>
        <w:jc w:val="both"/>
        <w:rPr>
          <w:rStyle w:val="markedcontent"/>
          <w:sz w:val="28"/>
          <w:szCs w:val="28"/>
          <w:lang w:val="en-GB"/>
        </w:rPr>
      </w:pPr>
      <w:r w:rsidRPr="00C368DB">
        <w:rPr>
          <w:rStyle w:val="markedcontent"/>
          <w:sz w:val="28"/>
          <w:szCs w:val="28"/>
          <w:lang w:val="en-GB"/>
        </w:rPr>
        <w:t>Asset’s individual return is less important than its contribution to the overall risk and diversification. The idea of portfolio diversification based on a rational thought of maximising return and minimizing risk. Risk can be lowered by investing in non-correlated assets, expecting one asset to grow when other is falling, thus reducing overall portfolio variance.</w:t>
      </w:r>
    </w:p>
    <w:p w:rsidR="00F03C82" w:rsidRPr="00C368DB" w:rsidRDefault="00F03C82" w:rsidP="00F03C82">
      <w:pPr>
        <w:pStyle w:val="ListParagraph"/>
        <w:ind w:left="284" w:firstLine="436"/>
        <w:jc w:val="both"/>
        <w:rPr>
          <w:rStyle w:val="markedcontent"/>
          <w:sz w:val="28"/>
          <w:szCs w:val="28"/>
          <w:lang w:val="en-GB"/>
        </w:rPr>
      </w:pPr>
      <w:r w:rsidRPr="00C368DB">
        <w:rPr>
          <w:rStyle w:val="markedcontent"/>
          <w:sz w:val="28"/>
          <w:szCs w:val="28"/>
          <w:lang w:val="en-GB"/>
        </w:rPr>
        <w:lastRenderedPageBreak/>
        <w:t xml:space="preserve">For the given stocks closing prices, correlation analysis showed that for the same sector’s companies MSFT, AAPL and INTC closing prices are </w:t>
      </w:r>
      <w:proofErr w:type="spellStart"/>
      <w:r w:rsidRPr="00C368DB">
        <w:rPr>
          <w:rStyle w:val="markedcontent"/>
          <w:sz w:val="28"/>
          <w:szCs w:val="28"/>
          <w:lang w:val="en-GB"/>
        </w:rPr>
        <w:t>pairwise</w:t>
      </w:r>
      <w:proofErr w:type="spellEnd"/>
      <w:r w:rsidRPr="00C368DB">
        <w:rPr>
          <w:rStyle w:val="markedcontent"/>
          <w:sz w:val="28"/>
          <w:szCs w:val="28"/>
          <w:lang w:val="en-GB"/>
        </w:rPr>
        <w:t xml:space="preserve"> correlated (see picture below).</w:t>
      </w:r>
    </w:p>
    <w:p w:rsidR="00F03C82" w:rsidRPr="00C368DB" w:rsidRDefault="00F03C82" w:rsidP="00F03C82">
      <w:pPr>
        <w:pStyle w:val="ListParagraph"/>
        <w:jc w:val="both"/>
        <w:rPr>
          <w:rStyle w:val="markedcontent"/>
          <w:sz w:val="28"/>
          <w:szCs w:val="28"/>
          <w:lang w:val="en-GB"/>
        </w:rPr>
      </w:pPr>
      <w:r w:rsidRPr="00C368DB">
        <w:rPr>
          <w:noProof/>
          <w:sz w:val="28"/>
          <w:szCs w:val="28"/>
        </w:rPr>
        <w:drawing>
          <wp:inline distT="0" distB="0" distL="0" distR="0">
            <wp:extent cx="5765804" cy="2596056"/>
            <wp:effectExtent l="19050" t="0" r="6346" b="0"/>
            <wp:docPr id="2"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ic:cNvPicPr>
                      <a:picLocks noChangeAspect="1" noChangeArrowheads="1"/>
                    </pic:cNvPicPr>
                  </pic:nvPicPr>
                  <pic:blipFill>
                    <a:blip r:embed="rId13" cstate="print"/>
                    <a:srcRect/>
                    <a:stretch>
                      <a:fillRect/>
                    </a:stretch>
                  </pic:blipFill>
                  <pic:spPr bwMode="auto">
                    <a:xfrm>
                      <a:off x="0" y="0"/>
                      <a:ext cx="5774397" cy="2599925"/>
                    </a:xfrm>
                    <a:prstGeom prst="rect">
                      <a:avLst/>
                    </a:prstGeom>
                    <a:noFill/>
                    <a:ln w="9525">
                      <a:noFill/>
                      <a:miter lim="800000"/>
                      <a:headEnd/>
                      <a:tailEnd/>
                    </a:ln>
                  </pic:spPr>
                </pic:pic>
              </a:graphicData>
            </a:graphic>
          </wp:inline>
        </w:drawing>
      </w:r>
    </w:p>
    <w:p w:rsidR="00F03C82" w:rsidRPr="00C368DB" w:rsidRDefault="00F03C82" w:rsidP="00BD5EBF">
      <w:pPr>
        <w:pStyle w:val="ListParagraph"/>
        <w:ind w:left="284" w:firstLine="425"/>
        <w:jc w:val="both"/>
        <w:rPr>
          <w:rStyle w:val="markedcontent"/>
          <w:sz w:val="28"/>
          <w:szCs w:val="28"/>
          <w:lang w:val="en-GB"/>
        </w:rPr>
      </w:pPr>
      <w:r w:rsidRPr="00C368DB">
        <w:rPr>
          <w:rStyle w:val="markedcontent"/>
          <w:sz w:val="28"/>
          <w:szCs w:val="28"/>
          <w:lang w:val="en-GB"/>
        </w:rPr>
        <w:t xml:space="preserve">Investing into uncorrelated stocks from different sectors decreases overall risk, although uncorrelated stocks may become correlated due to major </w:t>
      </w:r>
      <w:proofErr w:type="spellStart"/>
      <w:r w:rsidRPr="00C368DB">
        <w:rPr>
          <w:rStyle w:val="markedcontent"/>
          <w:sz w:val="28"/>
          <w:szCs w:val="28"/>
          <w:lang w:val="en-GB"/>
        </w:rPr>
        <w:t>macroeconomical</w:t>
      </w:r>
      <w:proofErr w:type="spellEnd"/>
      <w:r w:rsidRPr="00C368DB">
        <w:rPr>
          <w:rStyle w:val="markedcontent"/>
          <w:sz w:val="28"/>
          <w:szCs w:val="28"/>
          <w:lang w:val="en-GB"/>
        </w:rPr>
        <w:t xml:space="preserve"> factors, which affect industries in general. For a bigger extent adjacent sectors representatives, KO (food) and WFT (retail), may also be affected by sector changes to some extent, while purchasing stocks from the same sector (MSFT, AAPL and INTC ) increases overall risk, because their prices are affected by the same </w:t>
      </w:r>
      <w:proofErr w:type="spellStart"/>
      <w:r w:rsidRPr="00C368DB">
        <w:rPr>
          <w:rStyle w:val="markedcontent"/>
          <w:sz w:val="28"/>
          <w:szCs w:val="28"/>
          <w:lang w:val="en-GB"/>
        </w:rPr>
        <w:t>macroeconomical</w:t>
      </w:r>
      <w:proofErr w:type="spellEnd"/>
      <w:r w:rsidRPr="00C368DB">
        <w:rPr>
          <w:rStyle w:val="markedcontent"/>
          <w:sz w:val="28"/>
          <w:szCs w:val="28"/>
          <w:lang w:val="en-GB"/>
        </w:rPr>
        <w:t xml:space="preserve"> factors and policies thus they tend to rise and fall in concert. The last statement is not obvious, as in oligopoly markets in a same sector prices may not correlate in case if success of one company is justified by the failure of the rest, thus this thesis had to be checked.</w:t>
      </w:r>
    </w:p>
    <w:p w:rsidR="00F03C82" w:rsidRPr="00C368DB" w:rsidRDefault="00F03C82" w:rsidP="00BD5EBF">
      <w:pPr>
        <w:pStyle w:val="ListParagraph"/>
        <w:ind w:left="284" w:firstLine="436"/>
        <w:jc w:val="both"/>
        <w:rPr>
          <w:rStyle w:val="markedcontent"/>
          <w:sz w:val="28"/>
          <w:szCs w:val="28"/>
          <w:lang w:val="en-GB"/>
        </w:rPr>
      </w:pPr>
      <w:r w:rsidRPr="00C368DB">
        <w:rPr>
          <w:rStyle w:val="markedcontent"/>
          <w:sz w:val="28"/>
          <w:szCs w:val="28"/>
          <w:lang w:val="en-GB"/>
        </w:rPr>
        <w:t>Considering correlations, stock variances and individual returns, portfolio variance calculation is suggested. Depending on one’s risk aversion different strategies may be applied. Factors for consideration from the correlation analysis:</w:t>
      </w:r>
    </w:p>
    <w:p w:rsidR="00F03C82" w:rsidRPr="00C368DB" w:rsidRDefault="00F03C82" w:rsidP="00BD5EBF">
      <w:pPr>
        <w:pStyle w:val="ListParagraph"/>
        <w:ind w:left="284" w:firstLine="436"/>
        <w:jc w:val="both"/>
        <w:rPr>
          <w:rStyle w:val="markedcontent"/>
          <w:sz w:val="28"/>
          <w:szCs w:val="28"/>
          <w:lang w:val="en-GB"/>
        </w:rPr>
      </w:pPr>
      <w:r w:rsidRPr="00C368DB">
        <w:rPr>
          <w:rStyle w:val="markedcontent"/>
          <w:sz w:val="28"/>
          <w:szCs w:val="28"/>
          <w:lang w:val="en-GB"/>
        </w:rPr>
        <w:t>-MSFT and INTC show the highest correlation rate and should not be included in a same portfolio unless they provide small volatility and high return comparing to the others (which is the case for MSFT, but not the case for INTC).</w:t>
      </w:r>
    </w:p>
    <w:p w:rsidR="00F03C82" w:rsidRDefault="00F03C82" w:rsidP="00BD5EBF">
      <w:pPr>
        <w:pStyle w:val="ListParagraph"/>
        <w:ind w:left="284" w:firstLine="425"/>
        <w:jc w:val="both"/>
        <w:rPr>
          <w:rStyle w:val="markedcontent"/>
          <w:sz w:val="28"/>
          <w:szCs w:val="28"/>
          <w:lang w:val="en-GB"/>
        </w:rPr>
      </w:pPr>
      <w:r w:rsidRPr="00C368DB">
        <w:rPr>
          <w:rStyle w:val="markedcontent"/>
          <w:sz w:val="28"/>
          <w:szCs w:val="28"/>
          <w:lang w:val="en-GB"/>
        </w:rPr>
        <w:t xml:space="preserve">-The least correlated are AAPL and WMT (highest expected return, high volatility + moderate expected return, low volatility), </w:t>
      </w:r>
      <w:proofErr w:type="gramStart"/>
      <w:r w:rsidRPr="00C368DB">
        <w:rPr>
          <w:rStyle w:val="markedcontent"/>
          <w:sz w:val="28"/>
          <w:szCs w:val="28"/>
          <w:lang w:val="en-GB"/>
        </w:rPr>
        <w:t>AAPL  and</w:t>
      </w:r>
      <w:proofErr w:type="gramEnd"/>
      <w:r w:rsidRPr="00C368DB">
        <w:rPr>
          <w:rStyle w:val="markedcontent"/>
          <w:sz w:val="28"/>
          <w:szCs w:val="28"/>
          <w:lang w:val="en-GB"/>
        </w:rPr>
        <w:t xml:space="preserve"> KO (highest expected return, high volatility + low expected return, low volatility), INTC and WMT (moderate expected return, low volatility both).</w:t>
      </w:r>
    </w:p>
    <w:p w:rsidR="00CC23D0" w:rsidRDefault="00CC23D0" w:rsidP="00BD5EBF">
      <w:pPr>
        <w:pStyle w:val="ListParagraph"/>
        <w:ind w:left="284" w:firstLine="425"/>
        <w:jc w:val="both"/>
        <w:rPr>
          <w:rStyle w:val="markedcontent"/>
          <w:sz w:val="28"/>
          <w:szCs w:val="28"/>
          <w:lang w:val="en-GB"/>
        </w:rPr>
      </w:pPr>
    </w:p>
    <w:p w:rsidR="00131A78" w:rsidRDefault="00131A78" w:rsidP="00BD5EBF">
      <w:pPr>
        <w:pStyle w:val="ListParagraph"/>
        <w:ind w:left="284" w:firstLine="425"/>
        <w:jc w:val="both"/>
        <w:rPr>
          <w:rStyle w:val="markedcontent"/>
          <w:sz w:val="28"/>
          <w:szCs w:val="28"/>
          <w:lang w:val="en-GB"/>
        </w:rPr>
      </w:pPr>
    </w:p>
    <w:p w:rsidR="00131A78" w:rsidRDefault="00131A78" w:rsidP="00131A78">
      <w:pPr>
        <w:pStyle w:val="ListParagraph"/>
        <w:numPr>
          <w:ilvl w:val="0"/>
          <w:numId w:val="2"/>
        </w:numPr>
        <w:ind w:left="284" w:hanging="284"/>
        <w:jc w:val="both"/>
        <w:rPr>
          <w:rStyle w:val="markedcontent"/>
          <w:sz w:val="28"/>
          <w:szCs w:val="28"/>
          <w:lang w:val="en-GB"/>
        </w:rPr>
      </w:pPr>
      <w:r>
        <w:rPr>
          <w:rStyle w:val="markedcontent"/>
          <w:sz w:val="28"/>
          <w:szCs w:val="28"/>
          <w:lang w:val="en-GB"/>
        </w:rPr>
        <w:lastRenderedPageBreak/>
        <w:t>Monte Carlo Simulation to predict stock price of Microsoft Corp. for the next 4 years.</w:t>
      </w:r>
    </w:p>
    <w:p w:rsidR="00131A78" w:rsidRDefault="00D42BC9" w:rsidP="00A06F20">
      <w:pPr>
        <w:jc w:val="center"/>
        <w:rPr>
          <w:rStyle w:val="markedcontent"/>
          <w:sz w:val="28"/>
          <w:szCs w:val="28"/>
          <w:lang w:val="en-GB"/>
        </w:rPr>
      </w:pPr>
      <w:r>
        <w:rPr>
          <w:noProof/>
        </w:rPr>
        <w:drawing>
          <wp:inline distT="0" distB="0" distL="0" distR="0">
            <wp:extent cx="5568005" cy="2978840"/>
            <wp:effectExtent l="19050" t="19050" r="13645" b="120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570884" cy="2980380"/>
                    </a:xfrm>
                    <a:prstGeom prst="rect">
                      <a:avLst/>
                    </a:prstGeom>
                    <a:noFill/>
                    <a:ln w="9525">
                      <a:solidFill>
                        <a:schemeClr val="tx1"/>
                      </a:solidFill>
                      <a:miter lim="800000"/>
                      <a:headEnd/>
                      <a:tailEnd/>
                    </a:ln>
                  </pic:spPr>
                </pic:pic>
              </a:graphicData>
            </a:graphic>
          </wp:inline>
        </w:drawing>
      </w:r>
    </w:p>
    <w:p w:rsidR="00043213" w:rsidRPr="00043213" w:rsidRDefault="00043213" w:rsidP="00043213">
      <w:pPr>
        <w:jc w:val="both"/>
        <w:rPr>
          <w:rStyle w:val="markedcontent"/>
          <w:sz w:val="28"/>
          <w:szCs w:val="28"/>
          <w:lang w:val="en-GB"/>
        </w:rPr>
      </w:pPr>
      <w:r w:rsidRPr="00043213">
        <w:rPr>
          <w:rStyle w:val="markedcontent"/>
          <w:sz w:val="28"/>
          <w:szCs w:val="28"/>
          <w:lang w:val="en-GB"/>
        </w:rPr>
        <w:t>As per the simulation to predict next 4 years stock prices using Monte Carlo simulation for 300 times, below are the observations.</w:t>
      </w:r>
    </w:p>
    <w:p w:rsidR="00043213" w:rsidRPr="00043213" w:rsidRDefault="00043213" w:rsidP="00043213">
      <w:pPr>
        <w:jc w:val="both"/>
        <w:rPr>
          <w:rStyle w:val="markedcontent"/>
          <w:sz w:val="28"/>
          <w:szCs w:val="28"/>
          <w:lang w:val="en-GB"/>
        </w:rPr>
      </w:pPr>
      <w:r w:rsidRPr="00043213">
        <w:rPr>
          <w:rStyle w:val="markedcontent"/>
          <w:sz w:val="28"/>
          <w:szCs w:val="28"/>
          <w:lang w:val="en-GB"/>
        </w:rPr>
        <w:t>Maximum value it can reach was around $2949.98 which is a very high growth and is more than 10 times of the initial price.</w:t>
      </w:r>
    </w:p>
    <w:p w:rsidR="00043213" w:rsidRPr="00043213" w:rsidRDefault="00043213" w:rsidP="00043213">
      <w:pPr>
        <w:jc w:val="both"/>
        <w:rPr>
          <w:rStyle w:val="markedcontent"/>
          <w:sz w:val="28"/>
          <w:szCs w:val="28"/>
          <w:lang w:val="en-GB"/>
        </w:rPr>
      </w:pPr>
      <w:r w:rsidRPr="00043213">
        <w:rPr>
          <w:rStyle w:val="markedcontent"/>
          <w:sz w:val="28"/>
          <w:szCs w:val="28"/>
          <w:lang w:val="en-GB"/>
        </w:rPr>
        <w:t xml:space="preserve">Minimum value as per simulation is #130.33 which </w:t>
      </w:r>
      <w:proofErr w:type="gramStart"/>
      <w:r w:rsidRPr="00043213">
        <w:rPr>
          <w:rStyle w:val="markedcontent"/>
          <w:sz w:val="28"/>
          <w:szCs w:val="28"/>
          <w:lang w:val="en-GB"/>
        </w:rPr>
        <w:t xml:space="preserve">is almost half of </w:t>
      </w:r>
      <w:r>
        <w:rPr>
          <w:rStyle w:val="markedcontent"/>
          <w:sz w:val="28"/>
          <w:szCs w:val="28"/>
          <w:lang w:val="en-GB"/>
        </w:rPr>
        <w:t xml:space="preserve">the </w:t>
      </w:r>
      <w:r w:rsidRPr="00043213">
        <w:rPr>
          <w:rStyle w:val="markedcontent"/>
          <w:sz w:val="28"/>
          <w:szCs w:val="28"/>
          <w:lang w:val="en-GB"/>
        </w:rPr>
        <w:t>initial price</w:t>
      </w:r>
      <w:proofErr w:type="gramEnd"/>
      <w:r w:rsidRPr="00043213">
        <w:rPr>
          <w:rStyle w:val="markedcontent"/>
          <w:sz w:val="28"/>
          <w:szCs w:val="28"/>
          <w:lang w:val="en-GB"/>
        </w:rPr>
        <w:t>.</w:t>
      </w:r>
    </w:p>
    <w:p w:rsidR="00043213" w:rsidRPr="00043213" w:rsidRDefault="00043213" w:rsidP="00043213">
      <w:pPr>
        <w:jc w:val="both"/>
        <w:rPr>
          <w:rStyle w:val="markedcontent"/>
          <w:sz w:val="28"/>
          <w:szCs w:val="28"/>
          <w:lang w:val="en-GB"/>
        </w:rPr>
      </w:pPr>
      <w:r w:rsidRPr="00043213">
        <w:rPr>
          <w:rStyle w:val="markedcontent"/>
          <w:sz w:val="28"/>
          <w:szCs w:val="28"/>
          <w:lang w:val="en-GB"/>
        </w:rPr>
        <w:t xml:space="preserve">Mean value </w:t>
      </w:r>
      <w:r>
        <w:rPr>
          <w:rStyle w:val="markedcontent"/>
          <w:sz w:val="28"/>
          <w:szCs w:val="28"/>
          <w:lang w:val="en-GB"/>
        </w:rPr>
        <w:t xml:space="preserve">is #467.5 which </w:t>
      </w:r>
      <w:proofErr w:type="gramStart"/>
      <w:r>
        <w:rPr>
          <w:rStyle w:val="markedcontent"/>
          <w:sz w:val="28"/>
          <w:szCs w:val="28"/>
          <w:lang w:val="en-GB"/>
        </w:rPr>
        <w:t>is 60 percent rise o</w:t>
      </w:r>
      <w:r w:rsidRPr="00043213">
        <w:rPr>
          <w:rStyle w:val="markedcontent"/>
          <w:sz w:val="28"/>
          <w:szCs w:val="28"/>
          <w:lang w:val="en-GB"/>
        </w:rPr>
        <w:t>n initial price</w:t>
      </w:r>
      <w:proofErr w:type="gramEnd"/>
      <w:r w:rsidRPr="00043213">
        <w:rPr>
          <w:rStyle w:val="markedcontent"/>
          <w:sz w:val="28"/>
          <w:szCs w:val="28"/>
          <w:lang w:val="en-GB"/>
        </w:rPr>
        <w:t>.</w:t>
      </w:r>
    </w:p>
    <w:p w:rsidR="00D42BC9" w:rsidRDefault="00043213" w:rsidP="00043213">
      <w:pPr>
        <w:jc w:val="both"/>
        <w:rPr>
          <w:rStyle w:val="markedcontent"/>
          <w:sz w:val="28"/>
          <w:szCs w:val="28"/>
          <w:lang w:val="en-GB"/>
        </w:rPr>
      </w:pPr>
      <w:r w:rsidRPr="00043213">
        <w:rPr>
          <w:rStyle w:val="markedcontent"/>
          <w:sz w:val="28"/>
          <w:szCs w:val="28"/>
          <w:lang w:val="en-GB"/>
        </w:rPr>
        <w:t>Since we have performed simulation 300 times we can make an intuition that the stock price may reach mean value in the span of 4 years as Microsoft stock continues to increase in value</w:t>
      </w:r>
      <w:r w:rsidR="000C136D">
        <w:rPr>
          <w:rStyle w:val="markedcontent"/>
          <w:sz w:val="28"/>
          <w:szCs w:val="28"/>
          <w:lang w:val="en-GB"/>
        </w:rPr>
        <w:t>.</w:t>
      </w:r>
    </w:p>
    <w:p w:rsidR="00BA60CF" w:rsidRPr="00BA60CF" w:rsidRDefault="000C136D" w:rsidP="00BA60CF">
      <w:pPr>
        <w:pStyle w:val="ListParagraph"/>
        <w:numPr>
          <w:ilvl w:val="0"/>
          <w:numId w:val="2"/>
        </w:numPr>
        <w:ind w:left="0"/>
        <w:jc w:val="both"/>
        <w:rPr>
          <w:rStyle w:val="markedcontent"/>
          <w:sz w:val="28"/>
          <w:szCs w:val="28"/>
          <w:lang w:val="en-GB"/>
        </w:rPr>
      </w:pPr>
      <w:r>
        <w:rPr>
          <w:rStyle w:val="markedcontent"/>
          <w:sz w:val="28"/>
          <w:szCs w:val="28"/>
          <w:lang w:val="en-GB"/>
        </w:rPr>
        <w:t>Trading Strategy</w:t>
      </w:r>
    </w:p>
    <w:p w:rsidR="000C136D" w:rsidRPr="000C136D" w:rsidRDefault="000C136D" w:rsidP="000C136D">
      <w:pPr>
        <w:pStyle w:val="ListParagraph"/>
        <w:ind w:left="0"/>
        <w:jc w:val="both"/>
        <w:rPr>
          <w:rStyle w:val="markedcontent"/>
          <w:sz w:val="28"/>
          <w:szCs w:val="28"/>
          <w:lang w:val="en-GB"/>
        </w:rPr>
      </w:pPr>
      <w:r w:rsidRPr="000C136D">
        <w:rPr>
          <w:rStyle w:val="markedcontent"/>
          <w:sz w:val="28"/>
          <w:szCs w:val="28"/>
          <w:lang w:val="en-GB"/>
        </w:rPr>
        <w:t xml:space="preserve">We suggest a passive trading strategy (buy and hold) for a </w:t>
      </w:r>
      <w:r w:rsidR="008B3194" w:rsidRPr="000C136D">
        <w:rPr>
          <w:rStyle w:val="markedcontent"/>
          <w:sz w:val="28"/>
          <w:szCs w:val="28"/>
          <w:lang w:val="en-GB"/>
        </w:rPr>
        <w:t>1-year</w:t>
      </w:r>
      <w:r w:rsidRPr="000C136D">
        <w:rPr>
          <w:rStyle w:val="markedcontent"/>
          <w:sz w:val="28"/>
          <w:szCs w:val="28"/>
          <w:lang w:val="en-GB"/>
        </w:rPr>
        <w:t xml:space="preserve"> period, after which we review our portfolio results. We pick stocks for our portfolio regarding that we are moderately inclined to take risks. Thus, based on the data frame gathered in task 3 we pick AAPL stocks due to its moderate standard deviation and highest returns among 5 given stocks. To balance our portfolio we also pick a stock with lower deviation and subsequently lower return to decrease the variance of our portfolio. To decrease the overall risk we also pick a stock from a different industry, thus the stocks correlation will be low. WMT has moderate return and low deviation, so it becomes our second choice.</w:t>
      </w:r>
    </w:p>
    <w:tbl>
      <w:tblPr>
        <w:tblpPr w:leftFromText="180" w:rightFromText="180" w:vertAnchor="text" w:horzAnchor="margin" w:tblpXSpec="center" w:tblpY="935"/>
        <w:tblW w:w="5541" w:type="dxa"/>
        <w:tblLook w:val="04A0"/>
      </w:tblPr>
      <w:tblGrid>
        <w:gridCol w:w="475"/>
        <w:gridCol w:w="1680"/>
        <w:gridCol w:w="1920"/>
        <w:gridCol w:w="1499"/>
      </w:tblGrid>
      <w:tr w:rsidR="00403845" w:rsidRPr="000C136D" w:rsidTr="000B038A">
        <w:trPr>
          <w:trHeight w:val="361"/>
        </w:trPr>
        <w:tc>
          <w:tcPr>
            <w:tcW w:w="4042" w:type="dxa"/>
            <w:gridSpan w:val="3"/>
            <w:tcBorders>
              <w:top w:val="single" w:sz="4" w:space="0" w:color="auto"/>
              <w:left w:val="single" w:sz="4" w:space="0" w:color="auto"/>
              <w:bottom w:val="single" w:sz="4" w:space="0" w:color="auto"/>
              <w:right w:val="single" w:sz="4" w:space="0" w:color="auto"/>
            </w:tcBorders>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lastRenderedPageBreak/>
              <w:t>Percentage of Investment</w:t>
            </w:r>
          </w:p>
        </w:tc>
        <w:tc>
          <w:tcPr>
            <w:tcW w:w="1499" w:type="dxa"/>
            <w:vMerge w:val="restart"/>
            <w:tcBorders>
              <w:top w:val="single" w:sz="4" w:space="0" w:color="auto"/>
              <w:left w:val="nil"/>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 </w:t>
            </w:r>
          </w:p>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Variances</w:t>
            </w:r>
          </w:p>
        </w:tc>
      </w:tr>
      <w:tr w:rsidR="00403845" w:rsidRPr="000C136D" w:rsidTr="000B038A">
        <w:trPr>
          <w:trHeight w:val="361"/>
        </w:trPr>
        <w:tc>
          <w:tcPr>
            <w:tcW w:w="442" w:type="dxa"/>
            <w:tcBorders>
              <w:top w:val="nil"/>
              <w:left w:val="single" w:sz="4" w:space="0" w:color="auto"/>
              <w:bottom w:val="single" w:sz="4" w:space="0" w:color="auto"/>
              <w:right w:val="single" w:sz="4" w:space="0" w:color="auto"/>
            </w:tcBorders>
          </w:tcPr>
          <w:p w:rsidR="00403845" w:rsidRPr="004E2EEB" w:rsidRDefault="004E2EEB" w:rsidP="000B038A">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680" w:type="dxa"/>
            <w:tcBorders>
              <w:top w:val="nil"/>
              <w:left w:val="single" w:sz="4" w:space="0" w:color="auto"/>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Apple</w:t>
            </w:r>
          </w:p>
        </w:tc>
        <w:tc>
          <w:tcPr>
            <w:tcW w:w="1920" w:type="dxa"/>
            <w:tcBorders>
              <w:top w:val="nil"/>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proofErr w:type="spellStart"/>
            <w:r w:rsidRPr="000C136D">
              <w:rPr>
                <w:rFonts w:ascii="Calibri" w:eastAsia="Times New Roman" w:hAnsi="Calibri" w:cs="Calibri"/>
                <w:color w:val="000000"/>
              </w:rPr>
              <w:t>Walmart</w:t>
            </w:r>
            <w:proofErr w:type="spellEnd"/>
          </w:p>
        </w:tc>
        <w:tc>
          <w:tcPr>
            <w:tcW w:w="1499" w:type="dxa"/>
            <w:vMerge/>
            <w:tcBorders>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p>
        </w:tc>
      </w:tr>
      <w:tr w:rsidR="00403845" w:rsidRPr="000C136D" w:rsidTr="000B038A">
        <w:trPr>
          <w:trHeight w:val="361"/>
        </w:trPr>
        <w:tc>
          <w:tcPr>
            <w:tcW w:w="442" w:type="dxa"/>
            <w:tcBorders>
              <w:top w:val="nil"/>
              <w:left w:val="single" w:sz="4" w:space="0" w:color="auto"/>
              <w:bottom w:val="single" w:sz="4" w:space="0" w:color="auto"/>
              <w:right w:val="single" w:sz="4" w:space="0" w:color="auto"/>
            </w:tcBorders>
          </w:tcPr>
          <w:p w:rsidR="00403845" w:rsidRPr="00403845" w:rsidRDefault="00403845" w:rsidP="000B038A">
            <w:pPr>
              <w:spacing w:after="0" w:line="240" w:lineRule="auto"/>
              <w:jc w:val="center"/>
              <w:rPr>
                <w:rFonts w:ascii="Calibri" w:eastAsia="Times New Roman" w:hAnsi="Calibri" w:cs="Calibri"/>
                <w:color w:val="000000"/>
                <w:lang w:val="ru-RU"/>
              </w:rPr>
            </w:pPr>
            <w:r>
              <w:rPr>
                <w:rFonts w:ascii="Calibri" w:eastAsia="Times New Roman" w:hAnsi="Calibri" w:cs="Calibri"/>
                <w:color w:val="000000"/>
                <w:lang w:val="ru-RU"/>
              </w:rPr>
              <w:t>1</w:t>
            </w:r>
          </w:p>
        </w:tc>
        <w:tc>
          <w:tcPr>
            <w:tcW w:w="1680" w:type="dxa"/>
            <w:tcBorders>
              <w:top w:val="nil"/>
              <w:left w:val="single" w:sz="4" w:space="0" w:color="auto"/>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50</w:t>
            </w:r>
          </w:p>
        </w:tc>
        <w:tc>
          <w:tcPr>
            <w:tcW w:w="1920" w:type="dxa"/>
            <w:tcBorders>
              <w:top w:val="nil"/>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50</w:t>
            </w:r>
          </w:p>
        </w:tc>
        <w:tc>
          <w:tcPr>
            <w:tcW w:w="1499" w:type="dxa"/>
            <w:tcBorders>
              <w:top w:val="nil"/>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0.0002705487</w:t>
            </w:r>
          </w:p>
        </w:tc>
      </w:tr>
      <w:tr w:rsidR="00403845" w:rsidRPr="000C136D" w:rsidTr="000B038A">
        <w:trPr>
          <w:trHeight w:val="361"/>
        </w:trPr>
        <w:tc>
          <w:tcPr>
            <w:tcW w:w="442" w:type="dxa"/>
            <w:tcBorders>
              <w:top w:val="nil"/>
              <w:left w:val="single" w:sz="4" w:space="0" w:color="auto"/>
              <w:bottom w:val="single" w:sz="4" w:space="0" w:color="auto"/>
              <w:right w:val="single" w:sz="4" w:space="0" w:color="auto"/>
            </w:tcBorders>
          </w:tcPr>
          <w:p w:rsidR="00403845" w:rsidRPr="00403845" w:rsidRDefault="00403845" w:rsidP="000B038A">
            <w:pPr>
              <w:spacing w:after="0" w:line="240" w:lineRule="auto"/>
              <w:jc w:val="center"/>
              <w:rPr>
                <w:rFonts w:ascii="Calibri" w:eastAsia="Times New Roman" w:hAnsi="Calibri" w:cs="Calibri"/>
                <w:color w:val="000000"/>
                <w:lang w:val="ru-RU"/>
              </w:rPr>
            </w:pPr>
            <w:r>
              <w:rPr>
                <w:rFonts w:ascii="Calibri" w:eastAsia="Times New Roman" w:hAnsi="Calibri" w:cs="Calibri"/>
                <w:color w:val="000000"/>
                <w:lang w:val="ru-RU"/>
              </w:rPr>
              <w:t>2</w:t>
            </w:r>
          </w:p>
        </w:tc>
        <w:tc>
          <w:tcPr>
            <w:tcW w:w="1680" w:type="dxa"/>
            <w:tcBorders>
              <w:top w:val="nil"/>
              <w:left w:val="single" w:sz="4" w:space="0" w:color="auto"/>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25</w:t>
            </w:r>
          </w:p>
        </w:tc>
        <w:tc>
          <w:tcPr>
            <w:tcW w:w="1920" w:type="dxa"/>
            <w:tcBorders>
              <w:top w:val="nil"/>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75</w:t>
            </w:r>
          </w:p>
        </w:tc>
        <w:tc>
          <w:tcPr>
            <w:tcW w:w="1499" w:type="dxa"/>
            <w:tcBorders>
              <w:top w:val="nil"/>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0.0002158672</w:t>
            </w:r>
          </w:p>
        </w:tc>
      </w:tr>
      <w:tr w:rsidR="00403845" w:rsidRPr="000C136D" w:rsidTr="000B038A">
        <w:trPr>
          <w:trHeight w:val="361"/>
        </w:trPr>
        <w:tc>
          <w:tcPr>
            <w:tcW w:w="442" w:type="dxa"/>
            <w:tcBorders>
              <w:top w:val="nil"/>
              <w:left w:val="single" w:sz="4" w:space="0" w:color="auto"/>
              <w:bottom w:val="single" w:sz="4" w:space="0" w:color="auto"/>
              <w:right w:val="single" w:sz="4" w:space="0" w:color="auto"/>
            </w:tcBorders>
          </w:tcPr>
          <w:p w:rsidR="00403845" w:rsidRPr="00403845" w:rsidRDefault="00403845" w:rsidP="000B038A">
            <w:pPr>
              <w:spacing w:after="0" w:line="240" w:lineRule="auto"/>
              <w:jc w:val="center"/>
              <w:rPr>
                <w:rFonts w:ascii="Calibri" w:eastAsia="Times New Roman" w:hAnsi="Calibri" w:cs="Calibri"/>
                <w:color w:val="000000"/>
                <w:lang w:val="ru-RU"/>
              </w:rPr>
            </w:pPr>
            <w:r>
              <w:rPr>
                <w:rFonts w:ascii="Calibri" w:eastAsia="Times New Roman" w:hAnsi="Calibri" w:cs="Calibri"/>
                <w:color w:val="000000"/>
                <w:lang w:val="ru-RU"/>
              </w:rPr>
              <w:t>3</w:t>
            </w:r>
          </w:p>
        </w:tc>
        <w:tc>
          <w:tcPr>
            <w:tcW w:w="1680" w:type="dxa"/>
            <w:tcBorders>
              <w:top w:val="nil"/>
              <w:left w:val="single" w:sz="4" w:space="0" w:color="auto"/>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75</w:t>
            </w:r>
          </w:p>
        </w:tc>
        <w:tc>
          <w:tcPr>
            <w:tcW w:w="1920" w:type="dxa"/>
            <w:tcBorders>
              <w:top w:val="nil"/>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25</w:t>
            </w:r>
          </w:p>
        </w:tc>
        <w:tc>
          <w:tcPr>
            <w:tcW w:w="1499" w:type="dxa"/>
            <w:tcBorders>
              <w:top w:val="nil"/>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0.0003033575</w:t>
            </w:r>
          </w:p>
        </w:tc>
      </w:tr>
      <w:tr w:rsidR="00403845" w:rsidRPr="000C136D" w:rsidTr="000B038A">
        <w:trPr>
          <w:trHeight w:val="361"/>
        </w:trPr>
        <w:tc>
          <w:tcPr>
            <w:tcW w:w="442" w:type="dxa"/>
            <w:tcBorders>
              <w:top w:val="nil"/>
              <w:left w:val="single" w:sz="4" w:space="0" w:color="auto"/>
              <w:bottom w:val="single" w:sz="4" w:space="0" w:color="auto"/>
              <w:right w:val="single" w:sz="4" w:space="0" w:color="auto"/>
            </w:tcBorders>
          </w:tcPr>
          <w:p w:rsidR="00403845" w:rsidRPr="00403845" w:rsidRDefault="00403845" w:rsidP="000B038A">
            <w:pPr>
              <w:spacing w:after="0" w:line="240" w:lineRule="auto"/>
              <w:jc w:val="center"/>
              <w:rPr>
                <w:rFonts w:ascii="Calibri" w:eastAsia="Times New Roman" w:hAnsi="Calibri" w:cs="Calibri"/>
                <w:color w:val="000000"/>
                <w:lang w:val="ru-RU"/>
              </w:rPr>
            </w:pPr>
            <w:r>
              <w:rPr>
                <w:rFonts w:ascii="Calibri" w:eastAsia="Times New Roman" w:hAnsi="Calibri" w:cs="Calibri"/>
                <w:color w:val="000000"/>
                <w:lang w:val="ru-RU"/>
              </w:rPr>
              <w:t>4</w:t>
            </w:r>
          </w:p>
        </w:tc>
        <w:tc>
          <w:tcPr>
            <w:tcW w:w="1680" w:type="dxa"/>
            <w:tcBorders>
              <w:top w:val="nil"/>
              <w:left w:val="single" w:sz="4" w:space="0" w:color="auto"/>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80</w:t>
            </w:r>
          </w:p>
        </w:tc>
        <w:tc>
          <w:tcPr>
            <w:tcW w:w="1920" w:type="dxa"/>
            <w:tcBorders>
              <w:top w:val="nil"/>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20</w:t>
            </w:r>
          </w:p>
        </w:tc>
        <w:tc>
          <w:tcPr>
            <w:tcW w:w="1499" w:type="dxa"/>
            <w:tcBorders>
              <w:top w:val="nil"/>
              <w:left w:val="nil"/>
              <w:bottom w:val="single" w:sz="4" w:space="0" w:color="auto"/>
              <w:right w:val="single" w:sz="4" w:space="0" w:color="auto"/>
            </w:tcBorders>
            <w:shd w:val="clear" w:color="auto" w:fill="auto"/>
            <w:noWrap/>
            <w:vAlign w:val="center"/>
            <w:hideMark/>
          </w:tcPr>
          <w:p w:rsidR="00403845" w:rsidRPr="000C136D" w:rsidRDefault="00403845" w:rsidP="000B038A">
            <w:pPr>
              <w:spacing w:after="0" w:line="240" w:lineRule="auto"/>
              <w:jc w:val="center"/>
              <w:rPr>
                <w:rFonts w:ascii="Calibri" w:eastAsia="Times New Roman" w:hAnsi="Calibri" w:cs="Calibri"/>
                <w:color w:val="000000"/>
              </w:rPr>
            </w:pPr>
            <w:r w:rsidRPr="000C136D">
              <w:rPr>
                <w:rFonts w:ascii="Calibri" w:eastAsia="Times New Roman" w:hAnsi="Calibri" w:cs="Calibri"/>
                <w:color w:val="000000"/>
              </w:rPr>
              <w:t>0.0003072946</w:t>
            </w:r>
          </w:p>
        </w:tc>
      </w:tr>
    </w:tbl>
    <w:p w:rsidR="000C136D" w:rsidRDefault="000C136D" w:rsidP="000C136D">
      <w:pPr>
        <w:pStyle w:val="ListParagraph"/>
        <w:ind w:left="0"/>
        <w:jc w:val="both"/>
        <w:rPr>
          <w:rStyle w:val="markedcontent"/>
          <w:sz w:val="28"/>
          <w:szCs w:val="28"/>
          <w:lang w:val="en-GB"/>
        </w:rPr>
      </w:pPr>
      <w:r w:rsidRPr="000C136D">
        <w:rPr>
          <w:rStyle w:val="markedcontent"/>
          <w:sz w:val="28"/>
          <w:szCs w:val="28"/>
          <w:lang w:val="en-GB"/>
        </w:rPr>
        <w:t xml:space="preserve">To check the proportions for our two-stock portfolio we will make </w:t>
      </w:r>
      <w:r w:rsidR="00570E01">
        <w:rPr>
          <w:rStyle w:val="markedcontent"/>
          <w:sz w:val="28"/>
          <w:szCs w:val="28"/>
          <w:lang w:val="en-GB"/>
        </w:rPr>
        <w:t>300</w:t>
      </w:r>
      <w:r w:rsidRPr="000C136D">
        <w:rPr>
          <w:rStyle w:val="markedcontent"/>
          <w:sz w:val="28"/>
          <w:szCs w:val="28"/>
          <w:lang w:val="en-GB"/>
        </w:rPr>
        <w:t xml:space="preserve"> Monte-Carlo simulations with </w:t>
      </w:r>
      <w:r w:rsidR="00570E01">
        <w:rPr>
          <w:rStyle w:val="markedcontent"/>
          <w:sz w:val="28"/>
          <w:szCs w:val="28"/>
          <w:lang w:val="en-GB"/>
        </w:rPr>
        <w:t>4</w:t>
      </w:r>
      <w:r w:rsidRPr="000C136D">
        <w:rPr>
          <w:rStyle w:val="markedcontent"/>
          <w:sz w:val="28"/>
          <w:szCs w:val="28"/>
          <w:lang w:val="en-GB"/>
        </w:rPr>
        <w:t xml:space="preserve"> different funds distribution proportions:</w:t>
      </w:r>
    </w:p>
    <w:p w:rsidR="000C136D" w:rsidRPr="000C136D" w:rsidRDefault="000C136D" w:rsidP="000C136D">
      <w:pPr>
        <w:pStyle w:val="ListParagraph"/>
        <w:ind w:left="0"/>
        <w:jc w:val="both"/>
        <w:rPr>
          <w:rStyle w:val="markedcontent"/>
          <w:sz w:val="28"/>
          <w:szCs w:val="28"/>
          <w:lang w:val="en-GB"/>
        </w:rPr>
      </w:pPr>
    </w:p>
    <w:p w:rsidR="00D42BC9" w:rsidRDefault="00D42BC9" w:rsidP="00D42BC9">
      <w:pPr>
        <w:pStyle w:val="ListParagraph"/>
        <w:ind w:left="284" w:firstLine="436"/>
        <w:jc w:val="both"/>
        <w:rPr>
          <w:rStyle w:val="markedcontent"/>
          <w:sz w:val="28"/>
          <w:szCs w:val="28"/>
          <w:lang w:val="en-GB"/>
        </w:rPr>
      </w:pPr>
    </w:p>
    <w:p w:rsidR="000C136D" w:rsidRDefault="000C136D" w:rsidP="00D42BC9">
      <w:pPr>
        <w:pStyle w:val="ListParagraph"/>
        <w:ind w:left="284" w:firstLine="436"/>
        <w:jc w:val="both"/>
        <w:rPr>
          <w:rStyle w:val="markedcontent"/>
          <w:sz w:val="28"/>
          <w:szCs w:val="28"/>
          <w:lang w:val="en-GB"/>
        </w:rPr>
      </w:pPr>
    </w:p>
    <w:p w:rsidR="000C136D" w:rsidRDefault="000C136D" w:rsidP="00D42BC9">
      <w:pPr>
        <w:pStyle w:val="ListParagraph"/>
        <w:ind w:left="284" w:firstLine="436"/>
        <w:jc w:val="both"/>
        <w:rPr>
          <w:rStyle w:val="markedcontent"/>
          <w:sz w:val="28"/>
          <w:szCs w:val="28"/>
          <w:lang w:val="en-GB"/>
        </w:rPr>
      </w:pPr>
    </w:p>
    <w:p w:rsidR="000C136D" w:rsidRDefault="000C136D" w:rsidP="00D42BC9">
      <w:pPr>
        <w:pStyle w:val="ListParagraph"/>
        <w:ind w:left="284" w:firstLine="436"/>
        <w:jc w:val="both"/>
        <w:rPr>
          <w:rStyle w:val="markedcontent"/>
          <w:sz w:val="28"/>
          <w:szCs w:val="28"/>
          <w:lang w:val="en-GB"/>
        </w:rPr>
      </w:pPr>
    </w:p>
    <w:p w:rsidR="00403845" w:rsidRDefault="00403845" w:rsidP="00175D31">
      <w:pPr>
        <w:jc w:val="both"/>
        <w:rPr>
          <w:rStyle w:val="markedcontent"/>
          <w:sz w:val="28"/>
          <w:szCs w:val="28"/>
          <w:lang w:val="en-GB"/>
        </w:rPr>
      </w:pPr>
    </w:p>
    <w:p w:rsidR="00403845" w:rsidRPr="001B5E9F" w:rsidRDefault="00871F0B" w:rsidP="00175D31">
      <w:pPr>
        <w:jc w:val="both"/>
        <w:rPr>
          <w:rStyle w:val="markedcontent"/>
          <w:sz w:val="28"/>
          <w:szCs w:val="28"/>
        </w:rPr>
      </w:pPr>
      <w:r w:rsidRPr="00871F0B">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9pt;margin-top:92.45pt;width:230.95pt;height:221.7pt;z-index:251658240">
            <v:imagedata r:id="rId15" o:title="25a75w"/>
            <w10:wrap type="topAndBottom"/>
          </v:shape>
        </w:pict>
      </w:r>
      <w:r w:rsidR="00403845">
        <w:rPr>
          <w:rStyle w:val="markedcontent"/>
          <w:sz w:val="28"/>
          <w:szCs w:val="28"/>
          <w:lang w:val="en-GB"/>
        </w:rPr>
        <w:t xml:space="preserve">In the image below you can see the simulations </w:t>
      </w:r>
      <w:r w:rsidR="001B5E9F">
        <w:rPr>
          <w:rStyle w:val="markedcontent"/>
          <w:sz w:val="28"/>
          <w:szCs w:val="28"/>
          <w:lang w:val="en-GB"/>
        </w:rPr>
        <w:t xml:space="preserve">of </w:t>
      </w:r>
      <w:r w:rsidR="008B3194">
        <w:rPr>
          <w:rStyle w:val="markedcontent"/>
          <w:sz w:val="28"/>
          <w:szCs w:val="28"/>
          <w:lang w:val="en-GB"/>
        </w:rPr>
        <w:t xml:space="preserve">the portfolio price movement </w:t>
      </w:r>
      <w:r w:rsidR="00403845">
        <w:rPr>
          <w:rStyle w:val="markedcontent"/>
          <w:sz w:val="28"/>
          <w:szCs w:val="28"/>
          <w:lang w:val="en-GB"/>
        </w:rPr>
        <w:t xml:space="preserve">for </w:t>
      </w:r>
      <w:r w:rsidR="001B5E9F" w:rsidRPr="001B5E9F">
        <w:rPr>
          <w:rStyle w:val="markedcontent"/>
          <w:sz w:val="28"/>
          <w:szCs w:val="28"/>
          <w:lang w:val="en-GB"/>
        </w:rPr>
        <w:t>25</w:t>
      </w:r>
      <w:r w:rsidR="001B5E9F" w:rsidRPr="000C136D">
        <w:rPr>
          <w:rStyle w:val="markedcontent"/>
          <w:sz w:val="28"/>
          <w:szCs w:val="28"/>
          <w:lang w:val="en-GB"/>
        </w:rPr>
        <w:t xml:space="preserve">% AAPL and </w:t>
      </w:r>
      <w:r w:rsidR="008B3194">
        <w:rPr>
          <w:rStyle w:val="markedcontent"/>
          <w:sz w:val="28"/>
          <w:szCs w:val="28"/>
          <w:lang w:val="en-GB"/>
        </w:rPr>
        <w:t>75</w:t>
      </w:r>
      <w:r w:rsidR="001B5E9F" w:rsidRPr="000C136D">
        <w:rPr>
          <w:rStyle w:val="markedcontent"/>
          <w:sz w:val="28"/>
          <w:szCs w:val="28"/>
          <w:lang w:val="en-GB"/>
        </w:rPr>
        <w:t>% WMT</w:t>
      </w:r>
      <w:r w:rsidR="008B3194">
        <w:rPr>
          <w:rStyle w:val="markedcontent"/>
          <w:sz w:val="28"/>
          <w:szCs w:val="28"/>
          <w:lang w:val="en-GB"/>
        </w:rPr>
        <w:t xml:space="preserve"> (#2)</w:t>
      </w:r>
      <w:r w:rsidR="001B5E9F" w:rsidRPr="001B5E9F">
        <w:rPr>
          <w:rStyle w:val="markedcontent"/>
          <w:sz w:val="28"/>
          <w:szCs w:val="28"/>
          <w:lang w:val="en-GB"/>
        </w:rPr>
        <w:t xml:space="preserve"> </w:t>
      </w:r>
      <w:r w:rsidR="001B5E9F">
        <w:rPr>
          <w:rStyle w:val="markedcontent"/>
          <w:sz w:val="28"/>
          <w:szCs w:val="28"/>
        </w:rPr>
        <w:t xml:space="preserve">and </w:t>
      </w:r>
      <w:r w:rsidR="001B5E9F" w:rsidRPr="000C136D">
        <w:rPr>
          <w:rStyle w:val="markedcontent"/>
          <w:sz w:val="28"/>
          <w:szCs w:val="28"/>
          <w:lang w:val="en-GB"/>
        </w:rPr>
        <w:t>80% AAPL and 20% WMT</w:t>
      </w:r>
      <w:r w:rsidR="008B3194">
        <w:rPr>
          <w:rStyle w:val="markedcontent"/>
          <w:sz w:val="28"/>
          <w:szCs w:val="28"/>
          <w:lang w:val="en-GB"/>
        </w:rPr>
        <w:t xml:space="preserve"> (#4). #4 </w:t>
      </w:r>
      <w:r w:rsidR="008B3194">
        <w:rPr>
          <w:rStyle w:val="markedcontent"/>
          <w:sz w:val="28"/>
          <w:szCs w:val="28"/>
        </w:rPr>
        <w:t xml:space="preserve">predictably shows higher deviation within a year and </w:t>
      </w:r>
      <w:r w:rsidR="00F37E1E">
        <w:rPr>
          <w:rStyle w:val="markedcontent"/>
          <w:sz w:val="28"/>
          <w:szCs w:val="28"/>
        </w:rPr>
        <w:t>provides</w:t>
      </w:r>
      <w:r w:rsidR="008B3194">
        <w:rPr>
          <w:rStyle w:val="markedcontent"/>
          <w:sz w:val="28"/>
          <w:szCs w:val="28"/>
        </w:rPr>
        <w:t xml:space="preserve"> a higher maximum value. </w:t>
      </w:r>
      <w:r w:rsidR="00927F68">
        <w:rPr>
          <w:rStyle w:val="markedcontent"/>
          <w:sz w:val="28"/>
          <w:szCs w:val="28"/>
        </w:rPr>
        <w:t xml:space="preserve">Additionally, </w:t>
      </w:r>
      <w:r w:rsidR="00927F68">
        <w:rPr>
          <w:rStyle w:val="markedcontent"/>
          <w:sz w:val="28"/>
          <w:szCs w:val="28"/>
          <w:lang w:val="en-GB"/>
        </w:rPr>
        <w:t>#4</w:t>
      </w:r>
      <w:r w:rsidR="008B3194" w:rsidRPr="000C136D">
        <w:rPr>
          <w:rStyle w:val="markedcontent"/>
          <w:sz w:val="28"/>
          <w:szCs w:val="28"/>
          <w:lang w:val="en-GB"/>
        </w:rPr>
        <w:t xml:space="preserve"> also has the h</w:t>
      </w:r>
      <w:r w:rsidR="00751594">
        <w:rPr>
          <w:rStyle w:val="markedcontent"/>
          <w:sz w:val="28"/>
          <w:szCs w:val="28"/>
          <w:lang w:val="en-GB"/>
        </w:rPr>
        <w:t>ighest Sharpe rating among four</w:t>
      </w:r>
      <w:r w:rsidR="008B3194" w:rsidRPr="000C136D">
        <w:rPr>
          <w:rStyle w:val="markedcontent"/>
          <w:sz w:val="28"/>
          <w:szCs w:val="28"/>
          <w:lang w:val="en-GB"/>
        </w:rPr>
        <w:t>.</w:t>
      </w:r>
    </w:p>
    <w:p w:rsidR="00A06F20" w:rsidRPr="00A06F20" w:rsidRDefault="00871F0B" w:rsidP="00A06F20">
      <w:pPr>
        <w:jc w:val="center"/>
        <w:rPr>
          <w:rStyle w:val="markedcontent"/>
          <w:i/>
          <w:sz w:val="28"/>
          <w:szCs w:val="28"/>
          <w:lang w:val="en-GB"/>
        </w:rPr>
      </w:pPr>
      <w:r w:rsidRPr="00871F0B">
        <w:rPr>
          <w:noProof/>
        </w:rPr>
        <w:pict>
          <v:shape id="_x0000_s1027" type="#_x0000_t75" style="position:absolute;left:0;text-align:left;margin-left:283.65pt;margin-top:31.95pt;width:181.05pt;height:173.25pt;z-index:251660288">
            <v:imagedata r:id="rId16" o:title="80a20w"/>
            <w10:wrap type="square"/>
          </v:shape>
        </w:pict>
      </w:r>
      <w:proofErr w:type="gramStart"/>
      <w:r w:rsidR="00F37E1E" w:rsidRPr="00F37E1E">
        <w:rPr>
          <w:rStyle w:val="markedcontent"/>
          <w:i/>
          <w:sz w:val="28"/>
          <w:szCs w:val="28"/>
        </w:rPr>
        <w:t xml:space="preserve">Portfolio simulation </w:t>
      </w:r>
      <w:r w:rsidR="00F37E1E" w:rsidRPr="00F37E1E">
        <w:rPr>
          <w:rStyle w:val="markedcontent"/>
          <w:i/>
          <w:sz w:val="28"/>
          <w:szCs w:val="28"/>
          <w:lang w:val="en-GB"/>
        </w:rPr>
        <w:t>“25% AAPL and 75% WMT” and “80% AAPL and 20% WMT” for 1-year.</w:t>
      </w:r>
      <w:proofErr w:type="gramEnd"/>
    </w:p>
    <w:p w:rsidR="00570E01" w:rsidRPr="00A06F20" w:rsidRDefault="00570E01" w:rsidP="00175D31">
      <w:pPr>
        <w:jc w:val="both"/>
        <w:rPr>
          <w:rStyle w:val="markedcontent"/>
          <w:b/>
          <w:sz w:val="28"/>
          <w:szCs w:val="28"/>
          <w:lang w:val="en-GB"/>
        </w:rPr>
      </w:pPr>
      <w:r w:rsidRPr="00A06F20">
        <w:rPr>
          <w:rStyle w:val="markedcontent"/>
          <w:b/>
          <w:sz w:val="28"/>
          <w:szCs w:val="28"/>
          <w:lang w:val="en-GB"/>
        </w:rPr>
        <w:t>Alternatively, simulations stock wise:</w:t>
      </w:r>
    </w:p>
    <w:p w:rsidR="00BA60CF" w:rsidRDefault="000C136D" w:rsidP="000C136D">
      <w:pPr>
        <w:jc w:val="both"/>
        <w:rPr>
          <w:rStyle w:val="markedcontent"/>
          <w:sz w:val="28"/>
          <w:szCs w:val="28"/>
          <w:lang w:val="en-GB"/>
        </w:rPr>
      </w:pPr>
      <w:r w:rsidRPr="000C136D">
        <w:rPr>
          <w:rStyle w:val="markedcontent"/>
          <w:sz w:val="28"/>
          <w:szCs w:val="28"/>
          <w:lang w:val="en-GB"/>
        </w:rPr>
        <w:t>-</w:t>
      </w:r>
      <w:r>
        <w:rPr>
          <w:rStyle w:val="markedcontent"/>
          <w:sz w:val="28"/>
          <w:szCs w:val="28"/>
          <w:lang w:val="en-GB"/>
        </w:rPr>
        <w:t>M</w:t>
      </w:r>
      <w:r w:rsidRPr="000C136D">
        <w:rPr>
          <w:rStyle w:val="markedcontent"/>
          <w:sz w:val="28"/>
          <w:szCs w:val="28"/>
          <w:lang w:val="en-GB"/>
        </w:rPr>
        <w:t xml:space="preserve">onte </w:t>
      </w:r>
      <w:r>
        <w:rPr>
          <w:rStyle w:val="markedcontent"/>
          <w:sz w:val="28"/>
          <w:szCs w:val="28"/>
          <w:lang w:val="en-GB"/>
        </w:rPr>
        <w:t>C</w:t>
      </w:r>
      <w:r w:rsidR="00BA60CF">
        <w:rPr>
          <w:rStyle w:val="markedcontent"/>
          <w:sz w:val="28"/>
          <w:szCs w:val="28"/>
          <w:lang w:val="en-GB"/>
        </w:rPr>
        <w:t>arlo: (10000</w:t>
      </w:r>
      <w:r w:rsidRPr="000C136D">
        <w:rPr>
          <w:rStyle w:val="markedcontent"/>
          <w:sz w:val="28"/>
          <w:szCs w:val="28"/>
          <w:lang w:val="en-GB"/>
        </w:rPr>
        <w:t xml:space="preserve"> simulations</w:t>
      </w:r>
      <w:r w:rsidR="00BA60CF">
        <w:rPr>
          <w:rStyle w:val="markedcontent"/>
          <w:sz w:val="28"/>
          <w:szCs w:val="28"/>
          <w:lang w:val="en-GB"/>
        </w:rPr>
        <w:t xml:space="preserve"> for 80% - 20%</w:t>
      </w:r>
      <w:r w:rsidRPr="000C136D">
        <w:rPr>
          <w:rStyle w:val="markedcontent"/>
          <w:sz w:val="28"/>
          <w:szCs w:val="28"/>
          <w:lang w:val="en-GB"/>
        </w:rPr>
        <w:t>)</w:t>
      </w:r>
    </w:p>
    <w:p w:rsidR="00175D31" w:rsidRDefault="00175D31" w:rsidP="00175D31">
      <w:pPr>
        <w:pStyle w:val="ListParagraph"/>
        <w:numPr>
          <w:ilvl w:val="0"/>
          <w:numId w:val="11"/>
        </w:numPr>
        <w:jc w:val="both"/>
        <w:rPr>
          <w:rStyle w:val="markedcontent"/>
          <w:sz w:val="28"/>
          <w:szCs w:val="28"/>
          <w:lang w:val="en-GB"/>
        </w:rPr>
      </w:pPr>
      <w:r w:rsidRPr="00175D31">
        <w:rPr>
          <w:rStyle w:val="markedcontent"/>
          <w:sz w:val="28"/>
          <w:szCs w:val="28"/>
          <w:lang w:val="en-GB"/>
        </w:rPr>
        <w:t>Apple Stock price simulation for predicting price after 1 year.</w:t>
      </w:r>
    </w:p>
    <w:p w:rsidR="00BA60CF" w:rsidRDefault="00175D31" w:rsidP="000C136D">
      <w:pPr>
        <w:pStyle w:val="ListParagraph"/>
        <w:numPr>
          <w:ilvl w:val="1"/>
          <w:numId w:val="11"/>
        </w:numPr>
        <w:jc w:val="both"/>
        <w:rPr>
          <w:rStyle w:val="markedcontent"/>
          <w:sz w:val="28"/>
          <w:szCs w:val="28"/>
          <w:lang w:val="en-GB"/>
        </w:rPr>
      </w:pPr>
      <w:r>
        <w:rPr>
          <w:rStyle w:val="markedcontent"/>
          <w:sz w:val="28"/>
          <w:szCs w:val="28"/>
          <w:lang w:val="en-GB"/>
        </w:rPr>
        <w:t>M</w:t>
      </w:r>
      <w:r w:rsidR="00BA60CF" w:rsidRPr="00175D31">
        <w:rPr>
          <w:rStyle w:val="markedcontent"/>
          <w:sz w:val="28"/>
          <w:szCs w:val="28"/>
          <w:lang w:val="en-GB"/>
        </w:rPr>
        <w:t>ax Price : 507.13</w:t>
      </w:r>
      <w:r w:rsidRPr="00175D31">
        <w:rPr>
          <w:rStyle w:val="markedcontent"/>
          <w:sz w:val="28"/>
          <w:szCs w:val="28"/>
          <w:lang w:val="en-GB"/>
        </w:rPr>
        <w:t>4</w:t>
      </w:r>
    </w:p>
    <w:p w:rsidR="00BA60CF" w:rsidRDefault="00175D31" w:rsidP="000C136D">
      <w:pPr>
        <w:pStyle w:val="ListParagraph"/>
        <w:numPr>
          <w:ilvl w:val="1"/>
          <w:numId w:val="11"/>
        </w:numPr>
        <w:jc w:val="both"/>
        <w:rPr>
          <w:rStyle w:val="markedcontent"/>
          <w:sz w:val="28"/>
          <w:szCs w:val="28"/>
          <w:lang w:val="en-GB"/>
        </w:rPr>
      </w:pPr>
      <w:r>
        <w:rPr>
          <w:rStyle w:val="markedcontent"/>
          <w:sz w:val="28"/>
          <w:szCs w:val="28"/>
          <w:lang w:val="en-GB"/>
        </w:rPr>
        <w:t>M</w:t>
      </w:r>
      <w:r w:rsidR="00BA60CF" w:rsidRPr="00175D31">
        <w:rPr>
          <w:rStyle w:val="markedcontent"/>
          <w:sz w:val="28"/>
          <w:szCs w:val="28"/>
          <w:lang w:val="en-GB"/>
        </w:rPr>
        <w:t>in Price : 59.53</w:t>
      </w:r>
      <w:r w:rsidRPr="00175D31">
        <w:rPr>
          <w:rStyle w:val="markedcontent"/>
          <w:sz w:val="28"/>
          <w:szCs w:val="28"/>
          <w:lang w:val="en-GB"/>
        </w:rPr>
        <w:t>4</w:t>
      </w:r>
    </w:p>
    <w:p w:rsidR="00175D31" w:rsidRPr="00175D31" w:rsidRDefault="00175D31" w:rsidP="000C136D">
      <w:pPr>
        <w:pStyle w:val="ListParagraph"/>
        <w:numPr>
          <w:ilvl w:val="1"/>
          <w:numId w:val="11"/>
        </w:numPr>
        <w:jc w:val="both"/>
        <w:rPr>
          <w:rStyle w:val="markedcontent"/>
          <w:sz w:val="28"/>
          <w:szCs w:val="28"/>
          <w:lang w:val="en-GB"/>
        </w:rPr>
      </w:pPr>
      <w:r w:rsidRPr="00175D31">
        <w:rPr>
          <w:rStyle w:val="markedcontent"/>
          <w:sz w:val="28"/>
          <w:szCs w:val="28"/>
          <w:lang w:val="en-GB"/>
        </w:rPr>
        <w:t>Mean Price : 164.383</w:t>
      </w:r>
    </w:p>
    <w:p w:rsidR="00175D31" w:rsidRDefault="00BA60CF" w:rsidP="00A06F20">
      <w:pPr>
        <w:jc w:val="center"/>
        <w:rPr>
          <w:rStyle w:val="markedcontent"/>
          <w:sz w:val="28"/>
          <w:szCs w:val="28"/>
          <w:lang w:val="en-GB"/>
        </w:rPr>
      </w:pPr>
      <w:r>
        <w:rPr>
          <w:noProof/>
          <w:sz w:val="28"/>
          <w:szCs w:val="28"/>
        </w:rPr>
        <w:lastRenderedPageBreak/>
        <w:drawing>
          <wp:inline distT="0" distB="0" distL="0" distR="0">
            <wp:extent cx="4804974" cy="3270804"/>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808219" cy="3273013"/>
                    </a:xfrm>
                    <a:prstGeom prst="rect">
                      <a:avLst/>
                    </a:prstGeom>
                    <a:noFill/>
                    <a:ln w="9525">
                      <a:noFill/>
                      <a:miter lim="800000"/>
                      <a:headEnd/>
                      <a:tailEnd/>
                    </a:ln>
                  </pic:spPr>
                </pic:pic>
              </a:graphicData>
            </a:graphic>
          </wp:inline>
        </w:drawing>
      </w:r>
    </w:p>
    <w:p w:rsidR="00175D31" w:rsidRDefault="00175D31" w:rsidP="00175D31">
      <w:pPr>
        <w:pStyle w:val="ListParagraph"/>
        <w:numPr>
          <w:ilvl w:val="0"/>
          <w:numId w:val="10"/>
        </w:numPr>
        <w:jc w:val="both"/>
        <w:rPr>
          <w:rStyle w:val="markedcontent"/>
          <w:sz w:val="28"/>
          <w:szCs w:val="28"/>
          <w:lang w:val="en-GB"/>
        </w:rPr>
      </w:pPr>
      <w:proofErr w:type="spellStart"/>
      <w:r>
        <w:rPr>
          <w:rStyle w:val="markedcontent"/>
          <w:sz w:val="28"/>
          <w:szCs w:val="28"/>
          <w:lang w:val="en-GB"/>
        </w:rPr>
        <w:t>Walmart</w:t>
      </w:r>
      <w:proofErr w:type="spellEnd"/>
      <w:r w:rsidRPr="00175D31">
        <w:rPr>
          <w:rStyle w:val="markedcontent"/>
          <w:sz w:val="28"/>
          <w:szCs w:val="28"/>
          <w:lang w:val="en-GB"/>
        </w:rPr>
        <w:t xml:space="preserve"> Stock price simulation for predicting price after 1 year.</w:t>
      </w:r>
    </w:p>
    <w:p w:rsidR="00175D31" w:rsidRDefault="00175D31" w:rsidP="00175D31">
      <w:pPr>
        <w:pStyle w:val="ListParagraph"/>
        <w:numPr>
          <w:ilvl w:val="1"/>
          <w:numId w:val="10"/>
        </w:numPr>
        <w:jc w:val="both"/>
        <w:rPr>
          <w:rStyle w:val="markedcontent"/>
          <w:sz w:val="28"/>
          <w:szCs w:val="28"/>
          <w:lang w:val="en-GB"/>
        </w:rPr>
      </w:pPr>
      <w:r>
        <w:rPr>
          <w:rStyle w:val="markedcontent"/>
          <w:sz w:val="28"/>
          <w:szCs w:val="28"/>
          <w:lang w:val="en-GB"/>
        </w:rPr>
        <w:t>Max Price : 300.382</w:t>
      </w:r>
    </w:p>
    <w:p w:rsidR="00175D31" w:rsidRDefault="00175D31" w:rsidP="00175D31">
      <w:pPr>
        <w:pStyle w:val="ListParagraph"/>
        <w:numPr>
          <w:ilvl w:val="1"/>
          <w:numId w:val="10"/>
        </w:numPr>
        <w:jc w:val="both"/>
        <w:rPr>
          <w:rStyle w:val="markedcontent"/>
          <w:sz w:val="28"/>
          <w:szCs w:val="28"/>
          <w:lang w:val="en-GB"/>
        </w:rPr>
      </w:pPr>
      <w:r>
        <w:rPr>
          <w:rStyle w:val="markedcontent"/>
          <w:sz w:val="28"/>
          <w:szCs w:val="28"/>
          <w:lang w:val="en-GB"/>
        </w:rPr>
        <w:t>M</w:t>
      </w:r>
      <w:r w:rsidRPr="00175D31">
        <w:rPr>
          <w:rStyle w:val="markedcontent"/>
          <w:sz w:val="28"/>
          <w:szCs w:val="28"/>
          <w:lang w:val="en-GB"/>
        </w:rPr>
        <w:t>in P</w:t>
      </w:r>
      <w:r>
        <w:rPr>
          <w:rStyle w:val="markedcontent"/>
          <w:sz w:val="28"/>
          <w:szCs w:val="28"/>
          <w:lang w:val="en-GB"/>
        </w:rPr>
        <w:t>rice : 72.559</w:t>
      </w:r>
    </w:p>
    <w:p w:rsidR="00175D31" w:rsidRPr="00A06F20" w:rsidRDefault="00175D31" w:rsidP="00A06F20">
      <w:pPr>
        <w:pStyle w:val="ListParagraph"/>
        <w:numPr>
          <w:ilvl w:val="1"/>
          <w:numId w:val="10"/>
        </w:numPr>
        <w:jc w:val="both"/>
        <w:rPr>
          <w:rStyle w:val="markedcontent"/>
          <w:sz w:val="28"/>
          <w:szCs w:val="28"/>
          <w:lang w:val="en-GB"/>
        </w:rPr>
      </w:pPr>
      <w:r>
        <w:rPr>
          <w:rStyle w:val="markedcontent"/>
          <w:sz w:val="28"/>
          <w:szCs w:val="28"/>
          <w:lang w:val="en-GB"/>
        </w:rPr>
        <w:t>Mean Price : 146.849</w:t>
      </w:r>
    </w:p>
    <w:p w:rsidR="00175D31" w:rsidRPr="00175D31" w:rsidRDefault="00175D31" w:rsidP="00175D31">
      <w:pPr>
        <w:jc w:val="center"/>
        <w:rPr>
          <w:rStyle w:val="markedcontent"/>
          <w:sz w:val="28"/>
          <w:szCs w:val="28"/>
          <w:lang w:val="en-GB"/>
        </w:rPr>
      </w:pPr>
      <w:r>
        <w:rPr>
          <w:noProof/>
          <w:sz w:val="28"/>
          <w:szCs w:val="28"/>
        </w:rPr>
        <w:drawing>
          <wp:inline distT="0" distB="0" distL="0" distR="0">
            <wp:extent cx="4542817" cy="3075796"/>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547823" cy="3079185"/>
                    </a:xfrm>
                    <a:prstGeom prst="rect">
                      <a:avLst/>
                    </a:prstGeom>
                    <a:noFill/>
                    <a:ln w="9525">
                      <a:noFill/>
                      <a:miter lim="800000"/>
                      <a:headEnd/>
                      <a:tailEnd/>
                    </a:ln>
                  </pic:spPr>
                </pic:pic>
              </a:graphicData>
            </a:graphic>
          </wp:inline>
        </w:drawing>
      </w:r>
    </w:p>
    <w:p w:rsidR="000C136D" w:rsidRPr="00C368DB" w:rsidRDefault="000C136D" w:rsidP="000C136D">
      <w:pPr>
        <w:pStyle w:val="ListParagraph"/>
        <w:ind w:left="0"/>
        <w:jc w:val="both"/>
        <w:rPr>
          <w:rStyle w:val="markedcontent"/>
          <w:sz w:val="28"/>
          <w:szCs w:val="28"/>
          <w:lang w:val="en-GB"/>
        </w:rPr>
      </w:pPr>
      <w:r w:rsidRPr="000C136D">
        <w:rPr>
          <w:rStyle w:val="markedcontent"/>
          <w:sz w:val="28"/>
          <w:szCs w:val="28"/>
          <w:lang w:val="en-GB"/>
        </w:rPr>
        <w:t>We pick #4</w:t>
      </w:r>
      <w:r w:rsidR="008B3194">
        <w:rPr>
          <w:rStyle w:val="markedcontent"/>
          <w:sz w:val="28"/>
          <w:szCs w:val="28"/>
          <w:lang w:val="en-GB"/>
        </w:rPr>
        <w:t>.</w:t>
      </w:r>
      <w:r w:rsidRPr="000C136D">
        <w:rPr>
          <w:rStyle w:val="markedcontent"/>
          <w:sz w:val="28"/>
          <w:szCs w:val="28"/>
          <w:lang w:val="en-GB"/>
        </w:rPr>
        <w:t xml:space="preserve"> Monte-Carlo simulation showed that investing 10,000 USD with the following proportions: 8000 USD in AAPL and 2000 USD in </w:t>
      </w:r>
      <w:r w:rsidR="00040736">
        <w:rPr>
          <w:rStyle w:val="markedcontent"/>
          <w:sz w:val="28"/>
          <w:szCs w:val="28"/>
          <w:lang w:val="en-GB"/>
        </w:rPr>
        <w:t xml:space="preserve">WMT can provide maximum profit </w:t>
      </w:r>
      <w:r w:rsidR="00040736" w:rsidRPr="00040736">
        <w:rPr>
          <w:rStyle w:val="markedcontent"/>
          <w:b/>
          <w:sz w:val="28"/>
          <w:szCs w:val="28"/>
          <w:lang w:val="en-GB"/>
        </w:rPr>
        <w:t>229.82</w:t>
      </w:r>
      <w:r w:rsidRPr="000C136D">
        <w:rPr>
          <w:rStyle w:val="markedcontent"/>
          <w:sz w:val="28"/>
          <w:szCs w:val="28"/>
          <w:lang w:val="en-GB"/>
        </w:rPr>
        <w:t xml:space="preserve"> % </w:t>
      </w:r>
      <w:r w:rsidR="00C62A6D">
        <w:rPr>
          <w:rStyle w:val="markedcontent"/>
          <w:sz w:val="28"/>
          <w:szCs w:val="28"/>
          <w:lang w:val="en-GB"/>
        </w:rPr>
        <w:t>or</w:t>
      </w:r>
      <w:r w:rsidRPr="000C136D">
        <w:rPr>
          <w:rStyle w:val="markedcontent"/>
          <w:sz w:val="28"/>
          <w:szCs w:val="28"/>
          <w:lang w:val="en-GB"/>
        </w:rPr>
        <w:t xml:space="preserve"> maximum los</w:t>
      </w:r>
      <w:r w:rsidR="00040736">
        <w:rPr>
          <w:rStyle w:val="markedcontent"/>
          <w:sz w:val="28"/>
          <w:szCs w:val="28"/>
          <w:lang w:val="en-GB"/>
        </w:rPr>
        <w:t xml:space="preserve">s </w:t>
      </w:r>
      <w:r w:rsidR="00040736" w:rsidRPr="00040736">
        <w:rPr>
          <w:rStyle w:val="markedcontent"/>
          <w:b/>
          <w:sz w:val="28"/>
          <w:szCs w:val="28"/>
          <w:lang w:val="en-GB"/>
        </w:rPr>
        <w:t>55.93</w:t>
      </w:r>
      <w:r w:rsidRPr="000C136D">
        <w:rPr>
          <w:rStyle w:val="markedcontent"/>
          <w:sz w:val="28"/>
          <w:szCs w:val="28"/>
          <w:lang w:val="en-GB"/>
        </w:rPr>
        <w:t xml:space="preserve"> </w:t>
      </w:r>
      <w:r w:rsidR="0074217C">
        <w:rPr>
          <w:rStyle w:val="markedcontent"/>
          <w:sz w:val="28"/>
          <w:szCs w:val="28"/>
          <w:lang w:val="en-GB"/>
        </w:rPr>
        <w:t xml:space="preserve">%, </w:t>
      </w:r>
      <w:r w:rsidR="00C62A6D">
        <w:rPr>
          <w:rStyle w:val="markedcontent"/>
          <w:sz w:val="28"/>
          <w:szCs w:val="28"/>
          <w:lang w:val="en-GB"/>
        </w:rPr>
        <w:t>or</w:t>
      </w:r>
      <w:r w:rsidR="00AE4E1F">
        <w:rPr>
          <w:rStyle w:val="markedcontent"/>
          <w:sz w:val="28"/>
          <w:szCs w:val="28"/>
          <w:lang w:val="en-GB"/>
        </w:rPr>
        <w:t xml:space="preserve"> a</w:t>
      </w:r>
      <w:r w:rsidR="00175D31">
        <w:rPr>
          <w:rStyle w:val="markedcontent"/>
          <w:sz w:val="28"/>
          <w:szCs w:val="28"/>
          <w:lang w:val="en-GB"/>
        </w:rPr>
        <w:t xml:space="preserve">n average </w:t>
      </w:r>
      <w:r w:rsidR="00C62A6D">
        <w:rPr>
          <w:rStyle w:val="markedcontent"/>
          <w:sz w:val="28"/>
          <w:szCs w:val="28"/>
          <w:lang w:val="en-GB"/>
        </w:rPr>
        <w:t xml:space="preserve">of </w:t>
      </w:r>
      <w:r w:rsidR="00132724">
        <w:rPr>
          <w:rStyle w:val="markedcontent"/>
          <w:b/>
          <w:sz w:val="28"/>
          <w:szCs w:val="28"/>
          <w:lang w:val="en-GB"/>
        </w:rPr>
        <w:t>14</w:t>
      </w:r>
      <w:r w:rsidR="00175D31" w:rsidRPr="00175D31">
        <w:rPr>
          <w:rStyle w:val="markedcontent"/>
          <w:b/>
          <w:sz w:val="28"/>
          <w:szCs w:val="28"/>
          <w:lang w:val="en-GB"/>
        </w:rPr>
        <w:t>.</w:t>
      </w:r>
      <w:r w:rsidR="00132724">
        <w:rPr>
          <w:rStyle w:val="markedcontent"/>
          <w:b/>
          <w:sz w:val="28"/>
          <w:szCs w:val="28"/>
          <w:lang w:val="en-GB"/>
        </w:rPr>
        <w:t>0</w:t>
      </w:r>
      <w:r w:rsidR="00175D31" w:rsidRPr="00175D31">
        <w:rPr>
          <w:rStyle w:val="markedcontent"/>
          <w:b/>
          <w:sz w:val="28"/>
          <w:szCs w:val="28"/>
          <w:lang w:val="en-GB"/>
        </w:rPr>
        <w:t>1</w:t>
      </w:r>
      <w:r w:rsidR="0074217C">
        <w:rPr>
          <w:rStyle w:val="markedcontent"/>
          <w:sz w:val="28"/>
          <w:szCs w:val="28"/>
          <w:lang w:val="en-GB"/>
        </w:rPr>
        <w:t xml:space="preserve"> % growth for entire portfolio.</w:t>
      </w:r>
    </w:p>
    <w:sectPr w:rsidR="000C136D" w:rsidRPr="00C368DB" w:rsidSect="00CC23D0">
      <w:pgSz w:w="12240" w:h="15840"/>
      <w:pgMar w:top="567" w:right="758" w:bottom="127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09EE"/>
    <w:multiLevelType w:val="hybridMultilevel"/>
    <w:tmpl w:val="86B41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57F98"/>
    <w:multiLevelType w:val="hybridMultilevel"/>
    <w:tmpl w:val="CD8C2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677D4"/>
    <w:multiLevelType w:val="hybridMultilevel"/>
    <w:tmpl w:val="76B0A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C60CA"/>
    <w:multiLevelType w:val="hybridMultilevel"/>
    <w:tmpl w:val="52A62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73DD8"/>
    <w:multiLevelType w:val="hybridMultilevel"/>
    <w:tmpl w:val="96C459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325FC3"/>
    <w:multiLevelType w:val="hybridMultilevel"/>
    <w:tmpl w:val="95D6D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6505E"/>
    <w:multiLevelType w:val="hybridMultilevel"/>
    <w:tmpl w:val="03C4C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975219"/>
    <w:multiLevelType w:val="hybridMultilevel"/>
    <w:tmpl w:val="5AC6CD52"/>
    <w:lvl w:ilvl="0" w:tplc="8CB2149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84E16"/>
    <w:multiLevelType w:val="hybridMultilevel"/>
    <w:tmpl w:val="DF848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016C8"/>
    <w:multiLevelType w:val="hybridMultilevel"/>
    <w:tmpl w:val="377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7E7A4A"/>
    <w:multiLevelType w:val="hybridMultilevel"/>
    <w:tmpl w:val="428450AC"/>
    <w:lvl w:ilvl="0" w:tplc="5C4E849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8"/>
  </w:num>
  <w:num w:numId="5">
    <w:abstractNumId w:val="2"/>
  </w:num>
  <w:num w:numId="6">
    <w:abstractNumId w:val="6"/>
  </w:num>
  <w:num w:numId="7">
    <w:abstractNumId w:val="0"/>
  </w:num>
  <w:num w:numId="8">
    <w:abstractNumId w:val="9"/>
  </w:num>
  <w:num w:numId="9">
    <w:abstractNumId w:val="5"/>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C641F"/>
    <w:rsid w:val="00040736"/>
    <w:rsid w:val="00043213"/>
    <w:rsid w:val="00067FA0"/>
    <w:rsid w:val="000969BE"/>
    <w:rsid w:val="000B038A"/>
    <w:rsid w:val="000C136D"/>
    <w:rsid w:val="000E305D"/>
    <w:rsid w:val="00131A78"/>
    <w:rsid w:val="00132724"/>
    <w:rsid w:val="00175D31"/>
    <w:rsid w:val="001B5E9F"/>
    <w:rsid w:val="002329AB"/>
    <w:rsid w:val="00294EE4"/>
    <w:rsid w:val="00296E68"/>
    <w:rsid w:val="002A7EAE"/>
    <w:rsid w:val="002D2697"/>
    <w:rsid w:val="00317156"/>
    <w:rsid w:val="00364979"/>
    <w:rsid w:val="00403845"/>
    <w:rsid w:val="00494E60"/>
    <w:rsid w:val="004E2EEB"/>
    <w:rsid w:val="00570E01"/>
    <w:rsid w:val="00662187"/>
    <w:rsid w:val="007146D2"/>
    <w:rsid w:val="0074217C"/>
    <w:rsid w:val="00751594"/>
    <w:rsid w:val="00753C3A"/>
    <w:rsid w:val="007B6644"/>
    <w:rsid w:val="00871F0B"/>
    <w:rsid w:val="0087513B"/>
    <w:rsid w:val="008B3194"/>
    <w:rsid w:val="009254D3"/>
    <w:rsid w:val="00927F68"/>
    <w:rsid w:val="009C736D"/>
    <w:rsid w:val="009F2435"/>
    <w:rsid w:val="00A06F20"/>
    <w:rsid w:val="00AA649E"/>
    <w:rsid w:val="00AD62C4"/>
    <w:rsid w:val="00AE4E1F"/>
    <w:rsid w:val="00B05414"/>
    <w:rsid w:val="00B2077E"/>
    <w:rsid w:val="00B6298C"/>
    <w:rsid w:val="00BA60CF"/>
    <w:rsid w:val="00BC3397"/>
    <w:rsid w:val="00BC641F"/>
    <w:rsid w:val="00BD5EBF"/>
    <w:rsid w:val="00BE1B4E"/>
    <w:rsid w:val="00C052B1"/>
    <w:rsid w:val="00C368DB"/>
    <w:rsid w:val="00C62143"/>
    <w:rsid w:val="00C62A6D"/>
    <w:rsid w:val="00CC23D0"/>
    <w:rsid w:val="00CD7EBC"/>
    <w:rsid w:val="00D42BC9"/>
    <w:rsid w:val="00E1018E"/>
    <w:rsid w:val="00E532A8"/>
    <w:rsid w:val="00E648C6"/>
    <w:rsid w:val="00E932FD"/>
    <w:rsid w:val="00F03C82"/>
    <w:rsid w:val="00F37E1E"/>
    <w:rsid w:val="00FC4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41F"/>
    <w:pPr>
      <w:ind w:left="720"/>
      <w:contextualSpacing/>
    </w:pPr>
  </w:style>
  <w:style w:type="character" w:customStyle="1" w:styleId="markedcontent">
    <w:name w:val="markedcontent"/>
    <w:basedOn w:val="DefaultParagraphFont"/>
    <w:rsid w:val="00B2077E"/>
  </w:style>
  <w:style w:type="paragraph" w:styleId="BalloonText">
    <w:name w:val="Balloon Text"/>
    <w:basedOn w:val="Normal"/>
    <w:link w:val="BalloonTextChar"/>
    <w:uiPriority w:val="99"/>
    <w:semiHidden/>
    <w:unhideWhenUsed/>
    <w:rsid w:val="0006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F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79584">
      <w:bodyDiv w:val="1"/>
      <w:marLeft w:val="0"/>
      <w:marRight w:val="0"/>
      <w:marTop w:val="0"/>
      <w:marBottom w:val="0"/>
      <w:divBdr>
        <w:top w:val="none" w:sz="0" w:space="0" w:color="auto"/>
        <w:left w:val="none" w:sz="0" w:space="0" w:color="auto"/>
        <w:bottom w:val="none" w:sz="0" w:space="0" w:color="auto"/>
        <w:right w:val="none" w:sz="0" w:space="0" w:color="auto"/>
      </w:divBdr>
    </w:div>
    <w:div w:id="292101067">
      <w:bodyDiv w:val="1"/>
      <w:marLeft w:val="0"/>
      <w:marRight w:val="0"/>
      <w:marTop w:val="0"/>
      <w:marBottom w:val="0"/>
      <w:divBdr>
        <w:top w:val="none" w:sz="0" w:space="0" w:color="auto"/>
        <w:left w:val="none" w:sz="0" w:space="0" w:color="auto"/>
        <w:bottom w:val="none" w:sz="0" w:space="0" w:color="auto"/>
        <w:right w:val="none" w:sz="0" w:space="0" w:color="auto"/>
      </w:divBdr>
    </w:div>
    <w:div w:id="1001470443">
      <w:bodyDiv w:val="1"/>
      <w:marLeft w:val="0"/>
      <w:marRight w:val="0"/>
      <w:marTop w:val="0"/>
      <w:marBottom w:val="0"/>
      <w:divBdr>
        <w:top w:val="none" w:sz="0" w:space="0" w:color="auto"/>
        <w:left w:val="none" w:sz="0" w:space="0" w:color="auto"/>
        <w:bottom w:val="none" w:sz="0" w:space="0" w:color="auto"/>
        <w:right w:val="none" w:sz="0" w:space="0" w:color="auto"/>
      </w:divBdr>
    </w:div>
    <w:div w:id="18523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A702-E970-4FD3-AA04-5D6F2E35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1498</Words>
  <Characters>8543</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Bharat</dc:creator>
  <cp:keywords/>
  <dc:description/>
  <cp:lastModifiedBy>Krishna Bharat</cp:lastModifiedBy>
  <cp:revision>11</cp:revision>
  <dcterms:created xsi:type="dcterms:W3CDTF">2021-10-19T16:27:00Z</dcterms:created>
  <dcterms:modified xsi:type="dcterms:W3CDTF">2021-10-19T16:54:00Z</dcterms:modified>
</cp:coreProperties>
</file>